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 xml:space="preserve">Bonos accesibles en un mundo de tasas altas: reconfiguración del mercado de renta fija y sus implicancias para el inversor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 xml:space="preserve">Rosende</w:t>
      </w:r>
      <w:r w:rsidR="00C07BB9" w:rsidRPr="00C07BB9">
        <w:rPr>
          <w:spacing w:val="-2"/>
        </w:rPr>
        <w:t xml:space="preserve">, </w:t>
      </w:r>
      <w:r>
        <w:rPr>
          <w:spacing w:val="-2"/>
        </w:rPr>
        <w:t xml:space="preserve">Matias</w:t>
      </w:r>
      <w:r w:rsidR="006C788D">
        <w:rPr>
          <w:spacing w:val="-2"/>
        </w:rPr>
        <w:t xml:space="preserve"> </w:t>
      </w:r>
      <w:r w:rsidR="00C07BB9" w:rsidRPr="00C07BB9">
        <w:rPr>
          <w:spacing w:val="-2"/>
        </w:rPr>
        <w:t xml:space="preserve">- LU: </w:t>
      </w:r>
      <w:r>
        <w:rPr>
          <w:spacing w:val="-2"/>
        </w:rPr>
        <w:t xml:space="preserve">1132124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5</w:t>
      </w:r>
      <w:r w:rsidR="00C07BB9">
        <w:rPr>
          <w:spacing w:val="-2"/>
        </w:rPr>
        <w:t xml:space="preserve"> (</w:t>
      </w:r>
      <w:r>
        <w:rPr>
          <w:spacing w:val="-2"/>
        </w:rPr>
        <w:t>CINCO</w:t>
      </w:r>
      <w:r w:rsidR="00C07BB9">
        <w:rPr>
          <w:spacing w:val="-2"/>
        </w:rPr>
        <w:t>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</w:t>
      </w:r>
      <w:r w:rsidR="009C7BCB">
        <w:rPr>
          <w:spacing w:val="-2"/>
        </w:rPr>
        <w:t xml:space="preserve">Peñafiel Chang</w:t>
      </w:r>
      <w:r w:rsidRPr="00C07BB9">
        <w:rPr>
          <w:spacing w:val="-2"/>
        </w:rPr>
        <w:t xml:space="preserve">, </w:t>
      </w:r>
      <w:r w:rsidR="009C7BCB">
        <w:rPr>
          <w:spacing w:val="-2"/>
        </w:rPr>
        <w:t xml:space="preserve">Luis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