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>ESG y rendimientos accionarios en el S&amp;P 500: materialidad, riesgo y poder explicativo bajo Fama-French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>Michaluk, Marcos Ezequiel - LU: 1152229</w:t>
      </w:r>
    </w:p>
    <w:p w14:paraId="339D94EA" w14:textId="2E588C4B" w:rsidR="009C7BCB" w:rsidRDefault="009C7BCB" w:rsidP="009C7BCB">
      <w:pPr>
        <w:spacing w:line="252" w:lineRule="exact"/>
        <w:ind w:left="262"/>
        <w:rPr>
          <w:spacing w:val="-2"/>
        </w:rPr>
      </w:pPr>
      <w:r>
        <w:rPr>
          <w:spacing w:val="-2"/>
        </w:rPr>
        <w:t>Ospital, Mateo - LU: 1151417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8 (OCHO)</w:t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SÍ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>Quintero Rivas, Alejandro</w:t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