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16BC09" w14:textId="77777777" w:rsidR="002232E6" w:rsidRDefault="00501254">
      <w:pPr>
        <w:widowControl w:val="0"/>
        <w:pBdr>
          <w:top w:val="nil"/>
          <w:left w:val="nil"/>
          <w:bottom w:val="nil"/>
          <w:right w:val="nil"/>
          <w:between w:val="nil"/>
        </w:pBdr>
        <w:spacing w:before="317" w:after="0" w:line="240" w:lineRule="auto"/>
        <w:rPr>
          <w:rFonts w:ascii="Times New Roman" w:eastAsia="Times New Roman" w:hAnsi="Times New Roman" w:cs="Times New Roman"/>
          <w:color w:val="000000"/>
          <w:sz w:val="50"/>
          <w:szCs w:val="50"/>
        </w:rPr>
      </w:pPr>
      <w:r>
        <w:rPr>
          <w:rFonts w:ascii="Times New Roman" w:eastAsia="Times New Roman" w:hAnsi="Times New Roman" w:cs="Times New Roman"/>
          <w:noProof/>
          <w:color w:val="000000"/>
          <w:sz w:val="50"/>
          <w:szCs w:val="50"/>
        </w:rPr>
        <w:drawing>
          <wp:anchor distT="0" distB="0" distL="0" distR="0" simplePos="0" relativeHeight="251658240" behindDoc="1" locked="0" layoutInCell="1" hidden="0" allowOverlap="1" wp14:anchorId="41E12A09" wp14:editId="76166080">
            <wp:simplePos x="0" y="0"/>
            <wp:positionH relativeFrom="page">
              <wp:align>right</wp:align>
            </wp:positionH>
            <wp:positionV relativeFrom="page">
              <wp:align>bottom</wp:align>
            </wp:positionV>
            <wp:extent cx="7772400" cy="10677525"/>
            <wp:effectExtent l="0" t="0" r="0" b="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7772400" cy="10677525"/>
                    </a:xfrm>
                    <a:prstGeom prst="rect">
                      <a:avLst/>
                    </a:prstGeom>
                    <a:ln/>
                  </pic:spPr>
                </pic:pic>
              </a:graphicData>
            </a:graphic>
          </wp:anchor>
        </w:drawing>
      </w:r>
    </w:p>
    <w:p w14:paraId="0638A0FB" w14:textId="77777777" w:rsidR="002232E6" w:rsidRDefault="00501254">
      <w:pPr>
        <w:widowControl w:val="0"/>
        <w:pBdr>
          <w:top w:val="nil"/>
          <w:left w:val="nil"/>
          <w:bottom w:val="nil"/>
          <w:right w:val="nil"/>
          <w:between w:val="nil"/>
        </w:pBdr>
        <w:spacing w:after="0" w:line="208" w:lineRule="auto"/>
        <w:ind w:left="40"/>
        <w:rPr>
          <w:rFonts w:ascii="Arial" w:eastAsia="Arial" w:hAnsi="Arial" w:cs="Arial"/>
          <w:color w:val="000000"/>
          <w:sz w:val="50"/>
          <w:szCs w:val="50"/>
        </w:rPr>
      </w:pPr>
      <w:r>
        <w:rPr>
          <w:rFonts w:ascii="Arial" w:eastAsia="Arial" w:hAnsi="Arial" w:cs="Arial"/>
          <w:color w:val="FFFFFF"/>
          <w:sz w:val="50"/>
          <w:szCs w:val="50"/>
        </w:rPr>
        <w:t>Análisis de la efectividad de los Consultorios Inclusivos en la Provincia de Buenos Aires como estrategia para reducir las barreras de acceso a la salud por parte de la Comunidad Trans</w:t>
      </w:r>
    </w:p>
    <w:p w14:paraId="45846C63" w14:textId="77777777" w:rsidR="002232E6" w:rsidRDefault="002232E6">
      <w:pPr>
        <w:widowControl w:val="0"/>
        <w:pBdr>
          <w:top w:val="nil"/>
          <w:left w:val="nil"/>
          <w:bottom w:val="nil"/>
          <w:right w:val="nil"/>
          <w:between w:val="nil"/>
        </w:pBdr>
        <w:spacing w:before="556" w:after="0" w:line="240" w:lineRule="auto"/>
        <w:rPr>
          <w:rFonts w:ascii="Arial" w:eastAsia="Arial" w:hAnsi="Arial" w:cs="Arial"/>
          <w:color w:val="000000"/>
          <w:sz w:val="50"/>
          <w:szCs w:val="50"/>
        </w:rPr>
      </w:pPr>
    </w:p>
    <w:p w14:paraId="043EFC71" w14:textId="77777777" w:rsidR="002232E6" w:rsidRDefault="00501254">
      <w:pPr>
        <w:spacing w:before="1"/>
        <w:ind w:left="440"/>
        <w:rPr>
          <w:rFonts w:ascii="Arial" w:eastAsia="Arial" w:hAnsi="Arial" w:cs="Arial"/>
          <w:b/>
          <w:bCs/>
          <w:sz w:val="40"/>
          <w:szCs w:val="40"/>
        </w:rPr>
      </w:pPr>
      <w:r>
        <w:rPr>
          <w:rFonts w:ascii="Arial" w:eastAsia="Arial" w:hAnsi="Arial" w:cs="Arial"/>
          <w:b/>
          <w:bCs/>
          <w:color w:val="FFFFFF"/>
          <w:sz w:val="40"/>
          <w:szCs w:val="40"/>
        </w:rPr>
        <w:t>Autor/es:</w:t>
      </w:r>
    </w:p>
    <w:p w14:paraId="7F6732CB" w14:textId="77777777" w:rsidR="002232E6" w:rsidRDefault="00501254">
      <w:pPr>
        <w:spacing w:before="377"/>
        <w:ind w:left="440"/>
        <w:rPr>
          <w:sz w:val="36"/>
          <w:szCs w:val="36"/>
        </w:rPr>
      </w:pPr>
      <w:r>
        <w:rPr>
          <w:color w:val="FFFFFF"/>
          <w:sz w:val="36"/>
          <w:szCs w:val="36"/>
        </w:rPr>
        <w:t>Bautista Pietronave - LU: 1158633</w:t>
      </w:r>
    </w:p>
    <w:p w14:paraId="35149B58" w14:textId="77777777" w:rsidR="002232E6" w:rsidRDefault="00501254">
      <w:pPr>
        <w:spacing w:before="389" w:line="449" w:lineRule="auto"/>
        <w:ind w:left="440"/>
        <w:rPr>
          <w:rFonts w:ascii="Arial" w:eastAsia="Arial" w:hAnsi="Arial" w:cs="Arial"/>
          <w:b/>
          <w:bCs/>
          <w:sz w:val="40"/>
          <w:szCs w:val="40"/>
        </w:rPr>
      </w:pPr>
      <w:r>
        <w:rPr>
          <w:rFonts w:ascii="Arial" w:eastAsia="Arial" w:hAnsi="Arial" w:cs="Arial"/>
          <w:b/>
          <w:bCs/>
          <w:color w:val="FFFFFF"/>
          <w:sz w:val="40"/>
          <w:szCs w:val="40"/>
        </w:rPr>
        <w:t>Carrera:</w:t>
      </w:r>
    </w:p>
    <w:p w14:paraId="729853B6" w14:textId="77777777" w:rsidR="002232E6" w:rsidRDefault="00501254">
      <w:pPr>
        <w:spacing w:line="403" w:lineRule="auto"/>
        <w:ind w:left="440"/>
        <w:rPr>
          <w:sz w:val="36"/>
          <w:szCs w:val="36"/>
        </w:rPr>
      </w:pPr>
      <w:r>
        <w:rPr>
          <w:color w:val="FFFFFF"/>
          <w:sz w:val="36"/>
          <w:szCs w:val="36"/>
        </w:rPr>
        <w:t>Lic. en Gestión de Servicios de Salud</w:t>
      </w:r>
    </w:p>
    <w:p w14:paraId="58D057AA" w14:textId="77777777" w:rsidR="002232E6" w:rsidRDefault="00501254">
      <w:pPr>
        <w:spacing w:before="348" w:line="449" w:lineRule="auto"/>
        <w:ind w:left="440"/>
        <w:rPr>
          <w:rFonts w:ascii="Arial" w:eastAsia="Arial" w:hAnsi="Arial" w:cs="Arial"/>
          <w:b/>
          <w:bCs/>
          <w:sz w:val="40"/>
          <w:szCs w:val="40"/>
        </w:rPr>
      </w:pPr>
      <w:r>
        <w:rPr>
          <w:rFonts w:ascii="Arial" w:eastAsia="Arial" w:hAnsi="Arial" w:cs="Arial"/>
          <w:b/>
          <w:bCs/>
          <w:color w:val="FFFFFF"/>
          <w:sz w:val="40"/>
          <w:szCs w:val="40"/>
        </w:rPr>
        <w:t>Tutor/es:</w:t>
      </w:r>
    </w:p>
    <w:p w14:paraId="4BBFF9FC" w14:textId="77777777" w:rsidR="002232E6" w:rsidRDefault="00501254">
      <w:pPr>
        <w:spacing w:line="403" w:lineRule="auto"/>
        <w:ind w:left="440"/>
        <w:rPr>
          <w:sz w:val="36"/>
          <w:szCs w:val="36"/>
        </w:rPr>
      </w:pPr>
      <w:r>
        <w:rPr>
          <w:color w:val="FFFFFF"/>
          <w:sz w:val="36"/>
          <w:szCs w:val="36"/>
        </w:rPr>
        <w:t>Mónica Aranda</w:t>
      </w:r>
    </w:p>
    <w:p w14:paraId="1EE62199" w14:textId="77777777" w:rsidR="002232E6" w:rsidRDefault="00501254">
      <w:pPr>
        <w:spacing w:before="349" w:line="449" w:lineRule="auto"/>
        <w:ind w:left="440"/>
        <w:rPr>
          <w:rFonts w:ascii="Arial" w:eastAsia="Arial" w:hAnsi="Arial" w:cs="Arial"/>
          <w:b/>
          <w:bCs/>
          <w:sz w:val="40"/>
          <w:szCs w:val="40"/>
        </w:rPr>
      </w:pPr>
      <w:r>
        <w:rPr>
          <w:rFonts w:ascii="Arial" w:eastAsia="Arial" w:hAnsi="Arial" w:cs="Arial"/>
          <w:b/>
          <w:bCs/>
          <w:color w:val="FFFFFF"/>
          <w:sz w:val="40"/>
          <w:szCs w:val="40"/>
        </w:rPr>
        <w:t>Año:</w:t>
      </w:r>
    </w:p>
    <w:p w14:paraId="7DA3B761" w14:textId="77777777" w:rsidR="002232E6" w:rsidRDefault="00501254">
      <w:pPr>
        <w:spacing w:line="403" w:lineRule="auto"/>
        <w:ind w:left="440"/>
        <w:rPr>
          <w:color w:val="FFFFFF"/>
          <w:sz w:val="36"/>
          <w:szCs w:val="36"/>
        </w:rPr>
      </w:pPr>
      <w:r>
        <w:rPr>
          <w:color w:val="FFFFFF"/>
          <w:sz w:val="36"/>
          <w:szCs w:val="36"/>
        </w:rPr>
        <w:t>2025</w:t>
      </w:r>
    </w:p>
    <w:p w14:paraId="0CBF0B6A" w14:textId="77777777" w:rsidR="002232E6" w:rsidRDefault="002232E6">
      <w:pPr>
        <w:spacing w:line="403" w:lineRule="auto"/>
        <w:ind w:left="440"/>
        <w:rPr>
          <w:color w:val="FFFFFF"/>
          <w:sz w:val="36"/>
          <w:szCs w:val="36"/>
        </w:rPr>
      </w:pPr>
    </w:p>
    <w:p w14:paraId="182588B3" w14:textId="77777777" w:rsidR="002232E6" w:rsidRPr="00D8002E" w:rsidRDefault="00501254" w:rsidP="00D8002E">
      <w:pPr>
        <w:pStyle w:val="Heading1"/>
        <w:jc w:val="left"/>
        <w:rPr>
          <w:u w:val="none"/>
        </w:rPr>
      </w:pPr>
      <w:bookmarkStart w:id="0" w:name="_heading=h.tie26kjotiiw" w:colFirst="0" w:colLast="0"/>
      <w:bookmarkEnd w:id="0"/>
      <w:r w:rsidRPr="00D8002E">
        <w:rPr>
          <w:u w:val="none"/>
        </w:rPr>
        <w:lastRenderedPageBreak/>
        <w:t>Resumen:</w:t>
      </w:r>
    </w:p>
    <w:p w14:paraId="72F9EE6D"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Este trabajo analiza el programa de los Consultorios Inclusivos (CI) de la Provincia de Buenos Aires, que fue implementado como política pública para mejorar el acceso a la salud de la población trans en el contexto de la Ley 26.743. La investigación se centra en evaluar la efectividad de estos centros desde la perspectiva de la Gestión de Servicios de Salud, identificando si realmente funcionan.</w:t>
      </w:r>
    </w:p>
    <w:p w14:paraId="793CBCA9" w14:textId="77777777" w:rsidR="002232E6" w:rsidRDefault="00501254" w:rsidP="00D8002E">
      <w:pPr>
        <w:spacing w:line="360" w:lineRule="auto"/>
        <w:jc w:val="both"/>
        <w:rPr>
          <w:rFonts w:ascii="Arial" w:eastAsia="Arial" w:hAnsi="Arial" w:cs="Arial"/>
          <w:sz w:val="24"/>
          <w:szCs w:val="24"/>
          <w:u w:val="single"/>
        </w:rPr>
      </w:pPr>
      <w:r>
        <w:rPr>
          <w:rFonts w:ascii="Arial" w:eastAsia="Arial" w:hAnsi="Arial" w:cs="Arial"/>
          <w:color w:val="000000"/>
          <w:sz w:val="24"/>
          <w:szCs w:val="24"/>
        </w:rPr>
        <w:t xml:space="preserve">A través de una metodología cualitativa y descriptiva con un análisis documental exhaustivo los resultados demostraron que estos CI han sido una estrategia eficaz de “acción afirmativa” para reducir las barreras de acceso a la salud y eliminar la violencia simbólica vivida, pero se encontraron algunas falencias como la insostenibilidad a largo plazo, la dependencia de “gestión informal” y la falta de procesos estandarizados para los problemas recurrentes de alta complejidad. </w:t>
      </w:r>
    </w:p>
    <w:p w14:paraId="2A1EA358"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 xml:space="preserve">Finalmente, se propone una reingeniería del modelo actual, saliendo de esta fragmentación del sistema de salud a uno integralmente inclusivo. Para esto se recomiendan acciones concretas: la capacitación transversal obligatoria para mejorar los estándares de calidad, la creación del rol de Navegador Par y la generación de guías de atención especializadas. Todo esto será para que la atención inclusiva a la población trans deje de ser algo aparte y se integre a todo el sistema de salud bonaerense. </w:t>
      </w:r>
    </w:p>
    <w:p w14:paraId="746D3BDC" w14:textId="77777777" w:rsidR="002232E6" w:rsidRDefault="002232E6">
      <w:pPr>
        <w:spacing w:line="360" w:lineRule="auto"/>
        <w:rPr>
          <w:rFonts w:ascii="Arial" w:eastAsia="Arial" w:hAnsi="Arial" w:cs="Arial"/>
          <w:sz w:val="24"/>
          <w:szCs w:val="24"/>
          <w:u w:val="single"/>
        </w:rPr>
      </w:pPr>
    </w:p>
    <w:p w14:paraId="1D9E5F69" w14:textId="77777777" w:rsidR="002232E6" w:rsidRDefault="002232E6">
      <w:pPr>
        <w:spacing w:line="360" w:lineRule="auto"/>
        <w:rPr>
          <w:rFonts w:ascii="Arial" w:eastAsia="Arial" w:hAnsi="Arial" w:cs="Arial"/>
          <w:sz w:val="24"/>
          <w:szCs w:val="24"/>
          <w:u w:val="single"/>
        </w:rPr>
      </w:pPr>
    </w:p>
    <w:p w14:paraId="5FBEF59E" w14:textId="77777777" w:rsidR="002232E6" w:rsidRDefault="002232E6">
      <w:pPr>
        <w:spacing w:line="360" w:lineRule="auto"/>
        <w:rPr>
          <w:rFonts w:ascii="Arial" w:eastAsia="Arial" w:hAnsi="Arial" w:cs="Arial"/>
          <w:sz w:val="24"/>
          <w:szCs w:val="24"/>
          <w:u w:val="single"/>
        </w:rPr>
      </w:pPr>
    </w:p>
    <w:p w14:paraId="3BE18A43" w14:textId="77777777" w:rsidR="002232E6" w:rsidRDefault="002232E6">
      <w:pPr>
        <w:spacing w:line="360" w:lineRule="auto"/>
        <w:rPr>
          <w:rFonts w:ascii="Arial" w:eastAsia="Arial" w:hAnsi="Arial" w:cs="Arial"/>
          <w:sz w:val="24"/>
          <w:szCs w:val="24"/>
          <w:u w:val="single"/>
        </w:rPr>
      </w:pPr>
    </w:p>
    <w:p w14:paraId="5681FA57" w14:textId="77777777" w:rsidR="002232E6" w:rsidRDefault="002232E6">
      <w:pPr>
        <w:spacing w:line="360" w:lineRule="auto"/>
        <w:rPr>
          <w:rFonts w:ascii="Arial" w:eastAsia="Arial" w:hAnsi="Arial" w:cs="Arial"/>
          <w:sz w:val="24"/>
          <w:szCs w:val="24"/>
          <w:u w:val="single"/>
        </w:rPr>
      </w:pPr>
    </w:p>
    <w:p w14:paraId="536DB8D1" w14:textId="77777777" w:rsidR="002232E6" w:rsidRDefault="002232E6">
      <w:pPr>
        <w:spacing w:line="360" w:lineRule="auto"/>
        <w:rPr>
          <w:rFonts w:ascii="Arial" w:eastAsia="Arial" w:hAnsi="Arial" w:cs="Arial"/>
          <w:sz w:val="24"/>
          <w:szCs w:val="24"/>
          <w:u w:val="single"/>
        </w:rPr>
      </w:pPr>
    </w:p>
    <w:p w14:paraId="33580244" w14:textId="77777777" w:rsidR="002232E6" w:rsidRDefault="002232E6">
      <w:pPr>
        <w:spacing w:line="360" w:lineRule="auto"/>
        <w:rPr>
          <w:rFonts w:ascii="Arial" w:eastAsia="Arial" w:hAnsi="Arial" w:cs="Arial"/>
          <w:sz w:val="24"/>
          <w:szCs w:val="24"/>
          <w:u w:val="single"/>
        </w:rPr>
      </w:pPr>
    </w:p>
    <w:p w14:paraId="525BCA76" w14:textId="77777777" w:rsidR="002232E6" w:rsidRPr="003B2DDD" w:rsidRDefault="002232E6" w:rsidP="003B2DDD">
      <w:pPr>
        <w:spacing w:line="360" w:lineRule="auto"/>
        <w:rPr>
          <w:rFonts w:ascii="Arial" w:eastAsia="Arial" w:hAnsi="Arial" w:cs="Arial"/>
          <w:sz w:val="24"/>
          <w:szCs w:val="24"/>
          <w:u w:val="single"/>
        </w:rPr>
      </w:pPr>
    </w:p>
    <w:sdt>
      <w:sdtPr>
        <w:rPr>
          <w:rFonts w:ascii="Arial" w:hAnsi="Arial" w:cs="Arial"/>
          <w:sz w:val="24"/>
          <w:szCs w:val="24"/>
        </w:rPr>
        <w:id w:val="-296531294"/>
        <w:docPartObj>
          <w:docPartGallery w:val="Table of Contents"/>
          <w:docPartUnique/>
        </w:docPartObj>
      </w:sdtPr>
      <w:sdtEndPr/>
      <w:sdtContent>
        <w:p w14:paraId="2672EFF4" w14:textId="77777777" w:rsidR="002232E6" w:rsidRPr="003B2DDD" w:rsidRDefault="003B2DDD" w:rsidP="003B2DDD">
          <w:pPr>
            <w:widowControl w:val="0"/>
            <w:tabs>
              <w:tab w:val="right" w:leader="dot" w:pos="12000"/>
            </w:tabs>
            <w:spacing w:before="60" w:after="0" w:line="360" w:lineRule="auto"/>
            <w:rPr>
              <w:rFonts w:ascii="Arial" w:hAnsi="Arial" w:cs="Arial"/>
              <w:b/>
              <w:bCs/>
              <w:color w:val="000000"/>
              <w:sz w:val="24"/>
              <w:szCs w:val="24"/>
            </w:rPr>
          </w:pPr>
          <w:r w:rsidRPr="003B2DDD">
            <w:rPr>
              <w:rFonts w:ascii="Arial" w:hAnsi="Arial" w:cs="Arial"/>
              <w:sz w:val="24"/>
              <w:szCs w:val="24"/>
            </w:rPr>
            <w:fldChar w:fldCharType="begin"/>
          </w:r>
          <w:r w:rsidRPr="003B2DDD">
            <w:rPr>
              <w:rFonts w:ascii="Arial" w:hAnsi="Arial" w:cs="Arial"/>
              <w:sz w:val="24"/>
              <w:szCs w:val="24"/>
            </w:rPr>
            <w:instrText xml:space="preserve"> TOC \h \u \z \t "Heading 1,1,Heading 2,2,Heading 3,3,Heading 4,4,Heading 5,5,Heading 6,6,"</w:instrText>
          </w:r>
          <w:r w:rsidRPr="003B2DDD">
            <w:rPr>
              <w:rFonts w:ascii="Arial" w:hAnsi="Arial" w:cs="Arial"/>
              <w:sz w:val="24"/>
              <w:szCs w:val="24"/>
            </w:rPr>
            <w:fldChar w:fldCharType="separate"/>
          </w:r>
          <w:hyperlink w:anchor="_heading=h.tie26kjotiiw">
            <w:r w:rsidR="002232E6" w:rsidRPr="003B2DDD">
              <w:rPr>
                <w:rFonts w:ascii="Arial" w:hAnsi="Arial" w:cs="Arial"/>
                <w:b/>
                <w:bCs/>
                <w:color w:val="000000"/>
                <w:sz w:val="24"/>
                <w:szCs w:val="24"/>
              </w:rPr>
              <w:t>Resumen:</w:t>
            </w:r>
            <w:r w:rsidR="002232E6" w:rsidRPr="003B2DDD">
              <w:rPr>
                <w:rFonts w:ascii="Arial" w:hAnsi="Arial" w:cs="Arial"/>
                <w:b/>
                <w:bCs/>
                <w:color w:val="000000"/>
                <w:sz w:val="24"/>
                <w:szCs w:val="24"/>
              </w:rPr>
              <w:tab/>
              <w:t>2</w:t>
            </w:r>
          </w:hyperlink>
        </w:p>
        <w:p w14:paraId="226C2A60" w14:textId="77777777" w:rsidR="002232E6" w:rsidRPr="003B2DDD" w:rsidRDefault="002232E6" w:rsidP="003B2DDD">
          <w:pPr>
            <w:widowControl w:val="0"/>
            <w:tabs>
              <w:tab w:val="right" w:leader="dot" w:pos="12000"/>
            </w:tabs>
            <w:spacing w:before="60" w:after="0" w:line="360" w:lineRule="auto"/>
            <w:rPr>
              <w:rFonts w:ascii="Arial" w:hAnsi="Arial" w:cs="Arial"/>
              <w:b/>
              <w:bCs/>
              <w:color w:val="000000"/>
              <w:sz w:val="24"/>
              <w:szCs w:val="24"/>
            </w:rPr>
          </w:pPr>
          <w:hyperlink w:anchor="_heading=h.33ojt98hx5bp">
            <w:r w:rsidRPr="003B2DDD">
              <w:rPr>
                <w:rFonts w:ascii="Arial" w:hAnsi="Arial" w:cs="Arial"/>
                <w:b/>
                <w:bCs/>
                <w:color w:val="000000"/>
                <w:sz w:val="24"/>
                <w:szCs w:val="24"/>
              </w:rPr>
              <w:t>Introducción:</w:t>
            </w:r>
            <w:r w:rsidRPr="003B2DDD">
              <w:rPr>
                <w:rFonts w:ascii="Arial" w:hAnsi="Arial" w:cs="Arial"/>
                <w:b/>
                <w:bCs/>
                <w:color w:val="000000"/>
                <w:sz w:val="24"/>
                <w:szCs w:val="24"/>
              </w:rPr>
              <w:tab/>
              <w:t>4</w:t>
            </w:r>
          </w:hyperlink>
        </w:p>
        <w:p w14:paraId="2AA26A56"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i69by4nagspd">
            <w:r w:rsidRPr="003B2DDD">
              <w:rPr>
                <w:rFonts w:ascii="Arial" w:hAnsi="Arial" w:cs="Arial"/>
                <w:color w:val="000000"/>
                <w:sz w:val="24"/>
                <w:szCs w:val="24"/>
              </w:rPr>
              <w:t>Justificación de su relevancia:</w:t>
            </w:r>
            <w:r w:rsidRPr="003B2DDD">
              <w:rPr>
                <w:rFonts w:ascii="Arial" w:hAnsi="Arial" w:cs="Arial"/>
                <w:color w:val="000000"/>
                <w:sz w:val="24"/>
                <w:szCs w:val="24"/>
              </w:rPr>
              <w:tab/>
              <w:t>5</w:t>
            </w:r>
          </w:hyperlink>
        </w:p>
        <w:p w14:paraId="33D62754"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ucp3ufmz156w">
            <w:r w:rsidRPr="003B2DDD">
              <w:rPr>
                <w:rFonts w:ascii="Arial" w:hAnsi="Arial" w:cs="Arial"/>
                <w:color w:val="000000"/>
                <w:sz w:val="24"/>
                <w:szCs w:val="24"/>
              </w:rPr>
              <w:t>Objetivos del trabajo:</w:t>
            </w:r>
            <w:r w:rsidRPr="003B2DDD">
              <w:rPr>
                <w:rFonts w:ascii="Arial" w:hAnsi="Arial" w:cs="Arial"/>
                <w:color w:val="000000"/>
                <w:sz w:val="24"/>
                <w:szCs w:val="24"/>
              </w:rPr>
              <w:tab/>
              <w:t>6</w:t>
            </w:r>
          </w:hyperlink>
        </w:p>
        <w:p w14:paraId="39AFA34C" w14:textId="77777777" w:rsidR="002232E6" w:rsidRPr="003B2DDD" w:rsidRDefault="002232E6" w:rsidP="003B2DDD">
          <w:pPr>
            <w:widowControl w:val="0"/>
            <w:tabs>
              <w:tab w:val="right" w:leader="dot" w:pos="12000"/>
            </w:tabs>
            <w:spacing w:before="60" w:after="0" w:line="360" w:lineRule="auto"/>
            <w:rPr>
              <w:rFonts w:ascii="Arial" w:hAnsi="Arial" w:cs="Arial"/>
              <w:b/>
              <w:bCs/>
              <w:color w:val="000000"/>
              <w:sz w:val="24"/>
              <w:szCs w:val="24"/>
            </w:rPr>
          </w:pPr>
          <w:hyperlink w:anchor="_heading=h.3iwyuyvnq5bf">
            <w:r w:rsidRPr="003B2DDD">
              <w:rPr>
                <w:rFonts w:ascii="Arial" w:hAnsi="Arial" w:cs="Arial"/>
                <w:b/>
                <w:bCs/>
                <w:color w:val="000000"/>
                <w:sz w:val="24"/>
                <w:szCs w:val="24"/>
              </w:rPr>
              <w:t>Marco teórico y Antecedentes:</w:t>
            </w:r>
            <w:r w:rsidRPr="003B2DDD">
              <w:rPr>
                <w:rFonts w:ascii="Arial" w:hAnsi="Arial" w:cs="Arial"/>
                <w:b/>
                <w:bCs/>
                <w:color w:val="000000"/>
                <w:sz w:val="24"/>
                <w:szCs w:val="24"/>
              </w:rPr>
              <w:tab/>
              <w:t>7</w:t>
            </w:r>
          </w:hyperlink>
        </w:p>
        <w:p w14:paraId="22187606"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n9pbiohb73mp">
            <w:r w:rsidRPr="003B2DDD">
              <w:rPr>
                <w:rFonts w:ascii="Arial" w:hAnsi="Arial" w:cs="Arial"/>
                <w:color w:val="000000"/>
                <w:sz w:val="24"/>
                <w:szCs w:val="24"/>
              </w:rPr>
              <w:t>Contexto de la Discriminación:</w:t>
            </w:r>
            <w:r w:rsidRPr="003B2DDD">
              <w:rPr>
                <w:rFonts w:ascii="Arial" w:hAnsi="Arial" w:cs="Arial"/>
                <w:color w:val="000000"/>
                <w:sz w:val="24"/>
                <w:szCs w:val="24"/>
              </w:rPr>
              <w:tab/>
              <w:t>7</w:t>
            </w:r>
          </w:hyperlink>
        </w:p>
        <w:p w14:paraId="1F748EBC"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4dkarwlrzxk2">
            <w:r w:rsidRPr="003B2DDD">
              <w:rPr>
                <w:rFonts w:ascii="Arial" w:hAnsi="Arial" w:cs="Arial"/>
                <w:color w:val="000000"/>
                <w:sz w:val="24"/>
                <w:szCs w:val="24"/>
              </w:rPr>
              <w:t>Evolución de los centros: de lo Epidemiológico a lo Integral:</w:t>
            </w:r>
            <w:r w:rsidRPr="003B2DDD">
              <w:rPr>
                <w:rFonts w:ascii="Arial" w:hAnsi="Arial" w:cs="Arial"/>
                <w:color w:val="000000"/>
                <w:sz w:val="24"/>
                <w:szCs w:val="24"/>
              </w:rPr>
              <w:tab/>
              <w:t>8</w:t>
            </w:r>
          </w:hyperlink>
        </w:p>
        <w:p w14:paraId="559491DF"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240a84aeu83q">
            <w:r w:rsidRPr="003B2DDD">
              <w:rPr>
                <w:rFonts w:ascii="Arial" w:hAnsi="Arial" w:cs="Arial"/>
                <w:color w:val="000000"/>
                <w:sz w:val="24"/>
                <w:szCs w:val="24"/>
              </w:rPr>
              <w:t>La Ley de Identidad de Género y el Nuevo paradigma</w:t>
            </w:r>
            <w:r w:rsidRPr="003B2DDD">
              <w:rPr>
                <w:rFonts w:ascii="Arial" w:hAnsi="Arial" w:cs="Arial"/>
                <w:color w:val="000000"/>
                <w:sz w:val="24"/>
                <w:szCs w:val="24"/>
              </w:rPr>
              <w:tab/>
              <w:t>8</w:t>
            </w:r>
          </w:hyperlink>
        </w:p>
        <w:p w14:paraId="3FACEE1B"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s8j9hje5ib3v">
            <w:r w:rsidRPr="003B2DDD">
              <w:rPr>
                <w:rFonts w:ascii="Arial" w:hAnsi="Arial" w:cs="Arial"/>
                <w:color w:val="000000"/>
                <w:sz w:val="24"/>
                <w:szCs w:val="24"/>
              </w:rPr>
              <w:t>El impacto de los determinantes sociales:</w:t>
            </w:r>
            <w:r w:rsidRPr="003B2DDD">
              <w:rPr>
                <w:rFonts w:ascii="Arial" w:hAnsi="Arial" w:cs="Arial"/>
                <w:color w:val="000000"/>
                <w:sz w:val="24"/>
                <w:szCs w:val="24"/>
              </w:rPr>
              <w:tab/>
              <w:t>9</w:t>
            </w:r>
          </w:hyperlink>
        </w:p>
        <w:p w14:paraId="68375055"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m59ta2e3fhkx">
            <w:r w:rsidRPr="003B2DDD">
              <w:rPr>
                <w:rFonts w:ascii="Arial" w:hAnsi="Arial" w:cs="Arial"/>
                <w:color w:val="000000"/>
                <w:sz w:val="24"/>
                <w:szCs w:val="24"/>
              </w:rPr>
              <w:t>Teoría de las Barreras y su clasificación</w:t>
            </w:r>
            <w:r w:rsidRPr="003B2DDD">
              <w:rPr>
                <w:rFonts w:ascii="Arial" w:hAnsi="Arial" w:cs="Arial"/>
                <w:color w:val="000000"/>
                <w:sz w:val="24"/>
                <w:szCs w:val="24"/>
              </w:rPr>
              <w:tab/>
              <w:t>10</w:t>
            </w:r>
          </w:hyperlink>
        </w:p>
        <w:p w14:paraId="2D11B482" w14:textId="77777777" w:rsidR="002232E6" w:rsidRPr="003B2DDD" w:rsidRDefault="002232E6" w:rsidP="003B2DDD">
          <w:pPr>
            <w:widowControl w:val="0"/>
            <w:tabs>
              <w:tab w:val="right" w:leader="dot" w:pos="12000"/>
            </w:tabs>
            <w:spacing w:before="60" w:after="0" w:line="360" w:lineRule="auto"/>
            <w:rPr>
              <w:rFonts w:ascii="Arial" w:hAnsi="Arial" w:cs="Arial"/>
              <w:b/>
              <w:bCs/>
              <w:color w:val="000000"/>
              <w:sz w:val="24"/>
              <w:szCs w:val="24"/>
            </w:rPr>
          </w:pPr>
          <w:hyperlink w:anchor="_heading=h.9s4pvmudjv44">
            <w:r w:rsidRPr="003B2DDD">
              <w:rPr>
                <w:rFonts w:ascii="Arial" w:hAnsi="Arial" w:cs="Arial"/>
                <w:b/>
                <w:bCs/>
                <w:color w:val="000000"/>
                <w:sz w:val="24"/>
                <w:szCs w:val="24"/>
              </w:rPr>
              <w:t>Desarrollo Metodológico:</w:t>
            </w:r>
            <w:r w:rsidRPr="003B2DDD">
              <w:rPr>
                <w:rFonts w:ascii="Arial" w:hAnsi="Arial" w:cs="Arial"/>
                <w:b/>
                <w:bCs/>
                <w:color w:val="000000"/>
                <w:sz w:val="24"/>
                <w:szCs w:val="24"/>
              </w:rPr>
              <w:tab/>
              <w:t>11</w:t>
            </w:r>
          </w:hyperlink>
        </w:p>
        <w:p w14:paraId="1B469AB9"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i30sog283z59">
            <w:r w:rsidRPr="003B2DDD">
              <w:rPr>
                <w:rFonts w:ascii="Arial" w:hAnsi="Arial" w:cs="Arial"/>
                <w:color w:val="000000"/>
                <w:sz w:val="24"/>
                <w:szCs w:val="24"/>
              </w:rPr>
              <w:t>Tipo de investigación:</w:t>
            </w:r>
            <w:r w:rsidRPr="003B2DDD">
              <w:rPr>
                <w:rFonts w:ascii="Arial" w:hAnsi="Arial" w:cs="Arial"/>
                <w:color w:val="000000"/>
                <w:sz w:val="24"/>
                <w:szCs w:val="24"/>
              </w:rPr>
              <w:tab/>
              <w:t>11</w:t>
            </w:r>
          </w:hyperlink>
        </w:p>
        <w:p w14:paraId="7EAA6739" w14:textId="77777777" w:rsidR="002232E6" w:rsidRPr="003B2DDD" w:rsidRDefault="002232E6" w:rsidP="003B2DDD">
          <w:pPr>
            <w:widowControl w:val="0"/>
            <w:tabs>
              <w:tab w:val="right" w:leader="dot" w:pos="12000"/>
            </w:tabs>
            <w:spacing w:before="60" w:after="0" w:line="360" w:lineRule="auto"/>
            <w:rPr>
              <w:rFonts w:ascii="Arial" w:hAnsi="Arial" w:cs="Arial"/>
              <w:b/>
              <w:bCs/>
              <w:color w:val="000000"/>
              <w:sz w:val="24"/>
              <w:szCs w:val="24"/>
            </w:rPr>
          </w:pPr>
          <w:hyperlink w:anchor="_heading=h.uaxcempes8wj">
            <w:r w:rsidRPr="003B2DDD">
              <w:rPr>
                <w:rFonts w:ascii="Arial" w:hAnsi="Arial" w:cs="Arial"/>
                <w:b/>
                <w:bCs/>
                <w:color w:val="000000"/>
                <w:sz w:val="24"/>
                <w:szCs w:val="24"/>
              </w:rPr>
              <w:t>Resultados:</w:t>
            </w:r>
            <w:r w:rsidRPr="003B2DDD">
              <w:rPr>
                <w:rFonts w:ascii="Arial" w:hAnsi="Arial" w:cs="Arial"/>
                <w:b/>
                <w:bCs/>
                <w:color w:val="000000"/>
                <w:sz w:val="24"/>
                <w:szCs w:val="24"/>
              </w:rPr>
              <w:tab/>
              <w:t>12</w:t>
            </w:r>
          </w:hyperlink>
        </w:p>
        <w:p w14:paraId="6A46E280"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ka9mbsur49ad">
            <w:r w:rsidRPr="003B2DDD">
              <w:rPr>
                <w:rFonts w:ascii="Arial" w:hAnsi="Arial" w:cs="Arial"/>
                <w:color w:val="000000"/>
                <w:sz w:val="24"/>
                <w:szCs w:val="24"/>
              </w:rPr>
              <w:t>Análisis de la Evolución de la estrategia de gestión</w:t>
            </w:r>
            <w:r w:rsidRPr="003B2DDD">
              <w:rPr>
                <w:rFonts w:ascii="Arial" w:hAnsi="Arial" w:cs="Arial"/>
                <w:color w:val="000000"/>
                <w:sz w:val="24"/>
                <w:szCs w:val="24"/>
              </w:rPr>
              <w:tab/>
              <w:t>12</w:t>
            </w:r>
          </w:hyperlink>
        </w:p>
        <w:p w14:paraId="3C6C3ED0"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g5ejqrvliihd">
            <w:r w:rsidRPr="003B2DDD">
              <w:rPr>
                <w:rFonts w:ascii="Arial" w:hAnsi="Arial" w:cs="Arial"/>
                <w:color w:val="000000"/>
                <w:sz w:val="24"/>
                <w:szCs w:val="24"/>
              </w:rPr>
              <w:t>Efectividad de la estrategia en el contexto de la accesibilidad</w:t>
            </w:r>
            <w:r w:rsidRPr="003B2DDD">
              <w:rPr>
                <w:rFonts w:ascii="Arial" w:hAnsi="Arial" w:cs="Arial"/>
                <w:color w:val="000000"/>
                <w:sz w:val="24"/>
                <w:szCs w:val="24"/>
              </w:rPr>
              <w:tab/>
              <w:t>13</w:t>
            </w:r>
          </w:hyperlink>
        </w:p>
        <w:p w14:paraId="1FB28423"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lpqs7732ci0h">
            <w:r w:rsidRPr="003B2DDD">
              <w:rPr>
                <w:rFonts w:ascii="Arial" w:hAnsi="Arial" w:cs="Arial"/>
                <w:color w:val="000000"/>
                <w:sz w:val="24"/>
                <w:szCs w:val="24"/>
              </w:rPr>
              <w:t>Análisis de la Sostenibilidad a futuro:</w:t>
            </w:r>
            <w:r w:rsidRPr="003B2DDD">
              <w:rPr>
                <w:rFonts w:ascii="Arial" w:hAnsi="Arial" w:cs="Arial"/>
                <w:color w:val="000000"/>
                <w:sz w:val="24"/>
                <w:szCs w:val="24"/>
              </w:rPr>
              <w:tab/>
              <w:t>14</w:t>
            </w:r>
          </w:hyperlink>
        </w:p>
        <w:p w14:paraId="1E83ECA3"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47rgf06vaqg1">
            <w:r w:rsidRPr="003B2DDD">
              <w:rPr>
                <w:rFonts w:ascii="Arial" w:hAnsi="Arial" w:cs="Arial"/>
                <w:color w:val="000000"/>
                <w:sz w:val="24"/>
                <w:szCs w:val="24"/>
              </w:rPr>
              <w:t>Vacíos en la gestión de casos de Alta complejidad</w:t>
            </w:r>
            <w:r w:rsidRPr="003B2DDD">
              <w:rPr>
                <w:rFonts w:ascii="Arial" w:hAnsi="Arial" w:cs="Arial"/>
                <w:color w:val="000000"/>
                <w:sz w:val="24"/>
                <w:szCs w:val="24"/>
              </w:rPr>
              <w:tab/>
              <w:t>15</w:t>
            </w:r>
          </w:hyperlink>
        </w:p>
        <w:p w14:paraId="4619EC5A"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5hh2dcm4a2tu">
            <w:r w:rsidRPr="003B2DDD">
              <w:rPr>
                <w:rFonts w:ascii="Arial" w:hAnsi="Arial" w:cs="Arial"/>
                <w:color w:val="000000"/>
                <w:sz w:val="24"/>
                <w:szCs w:val="24"/>
              </w:rPr>
              <w:t>La Judicialización como Indicador de Falla</w:t>
            </w:r>
            <w:r w:rsidRPr="003B2DDD">
              <w:rPr>
                <w:rFonts w:ascii="Arial" w:hAnsi="Arial" w:cs="Arial"/>
                <w:color w:val="000000"/>
                <w:sz w:val="24"/>
                <w:szCs w:val="24"/>
              </w:rPr>
              <w:tab/>
              <w:t>16</w:t>
            </w:r>
          </w:hyperlink>
        </w:p>
        <w:p w14:paraId="6B8D08F1" w14:textId="77777777" w:rsidR="002232E6" w:rsidRPr="003B2DDD" w:rsidRDefault="002232E6" w:rsidP="003B2DDD">
          <w:pPr>
            <w:widowControl w:val="0"/>
            <w:tabs>
              <w:tab w:val="right" w:leader="dot" w:pos="12000"/>
            </w:tabs>
            <w:spacing w:before="60" w:after="0" w:line="360" w:lineRule="auto"/>
            <w:rPr>
              <w:rFonts w:ascii="Arial" w:hAnsi="Arial" w:cs="Arial"/>
              <w:b/>
              <w:bCs/>
              <w:color w:val="000000"/>
              <w:sz w:val="24"/>
              <w:szCs w:val="24"/>
            </w:rPr>
          </w:pPr>
          <w:hyperlink w:anchor="_heading=h.bdc510e10qht">
            <w:r w:rsidRPr="003B2DDD">
              <w:rPr>
                <w:rFonts w:ascii="Arial" w:hAnsi="Arial" w:cs="Arial"/>
                <w:b/>
                <w:bCs/>
                <w:color w:val="000000"/>
                <w:sz w:val="24"/>
                <w:szCs w:val="24"/>
              </w:rPr>
              <w:t>Discusión:</w:t>
            </w:r>
            <w:r w:rsidRPr="003B2DDD">
              <w:rPr>
                <w:rFonts w:ascii="Arial" w:hAnsi="Arial" w:cs="Arial"/>
                <w:b/>
                <w:bCs/>
                <w:color w:val="000000"/>
                <w:sz w:val="24"/>
                <w:szCs w:val="24"/>
              </w:rPr>
              <w:tab/>
              <w:t>17</w:t>
            </w:r>
          </w:hyperlink>
        </w:p>
        <w:p w14:paraId="1C9CF3FF"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yazm6fav4olb">
            <w:r w:rsidRPr="003B2DDD">
              <w:rPr>
                <w:rFonts w:ascii="Arial" w:hAnsi="Arial" w:cs="Arial"/>
                <w:color w:val="000000"/>
                <w:sz w:val="24"/>
                <w:szCs w:val="24"/>
              </w:rPr>
              <w:t>Consultorios Inclusivos: Discriminación o integración:</w:t>
            </w:r>
            <w:r w:rsidRPr="003B2DDD">
              <w:rPr>
                <w:rFonts w:ascii="Arial" w:hAnsi="Arial" w:cs="Arial"/>
                <w:color w:val="000000"/>
                <w:sz w:val="24"/>
                <w:szCs w:val="24"/>
              </w:rPr>
              <w:tab/>
              <w:t>17</w:t>
            </w:r>
          </w:hyperlink>
        </w:p>
        <w:p w14:paraId="4C494D96"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3387afoey0td">
            <w:r w:rsidRPr="003B2DDD">
              <w:rPr>
                <w:rFonts w:ascii="Arial" w:hAnsi="Arial" w:cs="Arial"/>
                <w:color w:val="000000"/>
                <w:sz w:val="24"/>
                <w:szCs w:val="24"/>
              </w:rPr>
              <w:t>Sostenibilidad del Modelo Actual</w:t>
            </w:r>
            <w:r w:rsidRPr="003B2DDD">
              <w:rPr>
                <w:rFonts w:ascii="Arial" w:hAnsi="Arial" w:cs="Arial"/>
                <w:color w:val="000000"/>
                <w:sz w:val="24"/>
                <w:szCs w:val="24"/>
              </w:rPr>
              <w:tab/>
              <w:t>17</w:t>
            </w:r>
          </w:hyperlink>
        </w:p>
        <w:p w14:paraId="33324610"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ogpt5lxnie9v">
            <w:r w:rsidRPr="003B2DDD">
              <w:rPr>
                <w:rFonts w:ascii="Arial" w:hAnsi="Arial" w:cs="Arial"/>
                <w:color w:val="000000"/>
                <w:sz w:val="24"/>
                <w:szCs w:val="24"/>
              </w:rPr>
              <w:t>La brecha entre la ley y lo que pasa en la realidad</w:t>
            </w:r>
            <w:r w:rsidRPr="003B2DDD">
              <w:rPr>
                <w:rFonts w:ascii="Arial" w:hAnsi="Arial" w:cs="Arial"/>
                <w:color w:val="000000"/>
                <w:sz w:val="24"/>
                <w:szCs w:val="24"/>
              </w:rPr>
              <w:tab/>
              <w:t>18</w:t>
            </w:r>
          </w:hyperlink>
        </w:p>
        <w:p w14:paraId="2AB6B419" w14:textId="77777777" w:rsidR="002232E6" w:rsidRPr="003B2DDD" w:rsidRDefault="002232E6" w:rsidP="003B2DDD">
          <w:pPr>
            <w:widowControl w:val="0"/>
            <w:tabs>
              <w:tab w:val="right" w:leader="dot" w:pos="12000"/>
            </w:tabs>
            <w:spacing w:before="60" w:after="0" w:line="360" w:lineRule="auto"/>
            <w:ind w:left="360"/>
            <w:rPr>
              <w:rFonts w:ascii="Arial" w:hAnsi="Arial" w:cs="Arial"/>
              <w:color w:val="000000"/>
              <w:sz w:val="24"/>
              <w:szCs w:val="24"/>
            </w:rPr>
          </w:pPr>
          <w:hyperlink w:anchor="_heading=h.q76vg6rwc17o">
            <w:r w:rsidRPr="003B2DDD">
              <w:rPr>
                <w:rFonts w:ascii="Arial" w:hAnsi="Arial" w:cs="Arial"/>
                <w:color w:val="000000"/>
                <w:sz w:val="24"/>
                <w:szCs w:val="24"/>
              </w:rPr>
              <w:t>Análisis de la eficiencia del uso de recursos</w:t>
            </w:r>
            <w:r w:rsidRPr="003B2DDD">
              <w:rPr>
                <w:rFonts w:ascii="Arial" w:hAnsi="Arial" w:cs="Arial"/>
                <w:color w:val="000000"/>
                <w:sz w:val="24"/>
                <w:szCs w:val="24"/>
              </w:rPr>
              <w:tab/>
              <w:t>19</w:t>
            </w:r>
          </w:hyperlink>
        </w:p>
        <w:p w14:paraId="3E27E638" w14:textId="77777777" w:rsidR="002232E6" w:rsidRPr="003B2DDD" w:rsidRDefault="002232E6" w:rsidP="003B2DDD">
          <w:pPr>
            <w:widowControl w:val="0"/>
            <w:tabs>
              <w:tab w:val="right" w:leader="dot" w:pos="12000"/>
            </w:tabs>
            <w:spacing w:before="60" w:after="0" w:line="360" w:lineRule="auto"/>
            <w:rPr>
              <w:rFonts w:ascii="Arial" w:hAnsi="Arial" w:cs="Arial"/>
              <w:b/>
              <w:bCs/>
              <w:color w:val="000000"/>
              <w:sz w:val="24"/>
              <w:szCs w:val="24"/>
            </w:rPr>
          </w:pPr>
          <w:hyperlink w:anchor="_heading=h.279x0zrxqtqa">
            <w:r w:rsidRPr="003B2DDD">
              <w:rPr>
                <w:rFonts w:ascii="Arial" w:hAnsi="Arial" w:cs="Arial"/>
                <w:b/>
                <w:bCs/>
                <w:color w:val="000000"/>
                <w:sz w:val="24"/>
                <w:szCs w:val="24"/>
              </w:rPr>
              <w:t>Conclusiones:</w:t>
            </w:r>
            <w:r w:rsidRPr="003B2DDD">
              <w:rPr>
                <w:rFonts w:ascii="Arial" w:hAnsi="Arial" w:cs="Arial"/>
                <w:b/>
                <w:bCs/>
                <w:color w:val="000000"/>
                <w:sz w:val="24"/>
                <w:szCs w:val="24"/>
              </w:rPr>
              <w:tab/>
              <w:t>20</w:t>
            </w:r>
          </w:hyperlink>
        </w:p>
        <w:p w14:paraId="7C52330E" w14:textId="77777777" w:rsidR="003B2DDD" w:rsidRDefault="003B2DDD" w:rsidP="003B2DDD">
          <w:pPr>
            <w:widowControl w:val="0"/>
            <w:tabs>
              <w:tab w:val="right" w:leader="dot" w:pos="12000"/>
            </w:tabs>
            <w:spacing w:before="60" w:after="0" w:line="360" w:lineRule="auto"/>
            <w:rPr>
              <w:rFonts w:ascii="Arial" w:hAnsi="Arial" w:cs="Arial"/>
              <w:b/>
              <w:bCs/>
              <w:color w:val="000000"/>
              <w:sz w:val="24"/>
              <w:szCs w:val="24"/>
            </w:rPr>
          </w:pPr>
          <w:hyperlink w:anchor="_heading=h.jx8nwhvbyj9j">
            <w:r w:rsidRPr="003B2DDD">
              <w:rPr>
                <w:rFonts w:ascii="Arial" w:hAnsi="Arial" w:cs="Arial"/>
                <w:b/>
                <w:bCs/>
                <w:color w:val="000000"/>
                <w:sz w:val="24"/>
                <w:szCs w:val="24"/>
              </w:rPr>
              <w:t>Bibliografía:</w:t>
            </w:r>
            <w:r w:rsidRPr="003B2DDD">
              <w:rPr>
                <w:rFonts w:ascii="Arial" w:hAnsi="Arial" w:cs="Arial"/>
                <w:b/>
                <w:bCs/>
                <w:color w:val="000000"/>
                <w:sz w:val="24"/>
                <w:szCs w:val="24"/>
              </w:rPr>
              <w:tab/>
              <w:t>24</w:t>
            </w:r>
          </w:hyperlink>
          <w:r w:rsidRPr="003B2DDD">
            <w:rPr>
              <w:rFonts w:ascii="Arial" w:hAnsi="Arial" w:cs="Arial"/>
              <w:sz w:val="24"/>
              <w:szCs w:val="24"/>
            </w:rPr>
            <w:fldChar w:fldCharType="end"/>
          </w:r>
        </w:p>
        <w:p w14:paraId="12B32CCF" w14:textId="7513312B" w:rsidR="002232E6" w:rsidRPr="003B2DDD" w:rsidRDefault="00501254" w:rsidP="003B2DDD">
          <w:pPr>
            <w:widowControl w:val="0"/>
            <w:tabs>
              <w:tab w:val="right" w:leader="dot" w:pos="12000"/>
            </w:tabs>
            <w:spacing w:before="60" w:after="0" w:line="360" w:lineRule="auto"/>
            <w:rPr>
              <w:rFonts w:ascii="Arial" w:hAnsi="Arial" w:cs="Arial"/>
              <w:b/>
              <w:bCs/>
              <w:color w:val="000000"/>
              <w:sz w:val="24"/>
              <w:szCs w:val="24"/>
            </w:rPr>
          </w:pPr>
        </w:p>
      </w:sdtContent>
    </w:sdt>
    <w:p w14:paraId="7ECAAA2E" w14:textId="77777777" w:rsidR="002232E6" w:rsidRPr="00D8002E" w:rsidRDefault="00501254" w:rsidP="00D8002E">
      <w:pPr>
        <w:pStyle w:val="Heading1"/>
        <w:jc w:val="left"/>
        <w:rPr>
          <w:u w:val="none"/>
        </w:rPr>
      </w:pPr>
      <w:bookmarkStart w:id="1" w:name="_heading=h.33ojt98hx5bp" w:colFirst="0" w:colLast="0"/>
      <w:bookmarkEnd w:id="1"/>
      <w:r w:rsidRPr="00D8002E">
        <w:rPr>
          <w:u w:val="none"/>
        </w:rPr>
        <w:lastRenderedPageBreak/>
        <w:t>Introducción:</w:t>
      </w:r>
    </w:p>
    <w:p w14:paraId="3FEFB4A0" w14:textId="62B1317C" w:rsidR="002232E6" w:rsidRDefault="00501254" w:rsidP="00D8002E">
      <w:pPr>
        <w:spacing w:line="360" w:lineRule="auto"/>
        <w:jc w:val="both"/>
        <w:rPr>
          <w:rFonts w:ascii="Arial" w:eastAsia="Arial" w:hAnsi="Arial" w:cs="Arial"/>
          <w:color w:val="ED7D31"/>
          <w:sz w:val="24"/>
          <w:szCs w:val="24"/>
        </w:rPr>
      </w:pPr>
      <w:r>
        <w:rPr>
          <w:rFonts w:ascii="Arial" w:eastAsia="Arial" w:hAnsi="Arial" w:cs="Arial"/>
          <w:sz w:val="24"/>
          <w:szCs w:val="24"/>
        </w:rPr>
        <w:t xml:space="preserve">En la última década la gestión sanitaria en la República Argentina se estuvo viviendo un proceso de transformación de paradigma donde se empezó a incluir poblaciones históricamente mal vistas y apartadas de la salud. </w:t>
      </w:r>
      <w:r>
        <w:rPr>
          <w:rFonts w:ascii="Arial" w:eastAsia="Arial" w:hAnsi="Arial" w:cs="Arial"/>
          <w:color w:val="000000"/>
          <w:sz w:val="24"/>
          <w:szCs w:val="24"/>
        </w:rPr>
        <w:t xml:space="preserve">El sistema de salud según </w:t>
      </w:r>
      <w:proofErr w:type="spellStart"/>
      <w:r>
        <w:rPr>
          <w:rFonts w:ascii="Arial" w:eastAsia="Arial" w:hAnsi="Arial" w:cs="Arial"/>
          <w:color w:val="000000"/>
          <w:sz w:val="24"/>
          <w:szCs w:val="24"/>
        </w:rPr>
        <w:t>Lupi</w:t>
      </w:r>
      <w:proofErr w:type="spellEnd"/>
      <w:r>
        <w:rPr>
          <w:rFonts w:ascii="Arial" w:eastAsia="Arial" w:hAnsi="Arial" w:cs="Arial"/>
          <w:color w:val="000000"/>
          <w:sz w:val="24"/>
          <w:szCs w:val="24"/>
        </w:rPr>
        <w:t xml:space="preserve"> et al. (2025), opera tradicionalmente bajo un Modelo Médico Hegemónico y es biologicista, a-histórico y cis-sexista. Bajo esta lógica, las identidades fuera de lo cisgénero eran interpretadas como anomalías, expulsando sistemáticamente a la población trans de los servicios de atención. </w:t>
      </w:r>
      <w:r w:rsidR="00F730DC">
        <w:rPr>
          <w:rFonts w:ascii="Arial" w:eastAsia="Arial" w:hAnsi="Arial" w:cs="Arial"/>
          <w:color w:val="000000"/>
          <w:sz w:val="24"/>
          <w:szCs w:val="24"/>
        </w:rPr>
        <w:t>E</w:t>
      </w:r>
      <w:r>
        <w:rPr>
          <w:rFonts w:ascii="Arial" w:eastAsia="Arial" w:hAnsi="Arial" w:cs="Arial"/>
          <w:color w:val="000000"/>
          <w:sz w:val="24"/>
          <w:szCs w:val="24"/>
        </w:rPr>
        <w:t xml:space="preserve">ste escenario cambió con la Ley de Identidad de Género 26.743 en 2012 que </w:t>
      </w:r>
      <w:r w:rsidR="00E008B9">
        <w:rPr>
          <w:rFonts w:ascii="Arial" w:eastAsia="Arial" w:hAnsi="Arial" w:cs="Arial"/>
          <w:color w:val="000000"/>
          <w:sz w:val="24"/>
          <w:szCs w:val="24"/>
        </w:rPr>
        <w:t xml:space="preserve">obligo </w:t>
      </w:r>
      <w:r>
        <w:rPr>
          <w:rFonts w:ascii="Arial" w:eastAsia="Arial" w:hAnsi="Arial" w:cs="Arial"/>
          <w:color w:val="000000"/>
          <w:sz w:val="24"/>
          <w:szCs w:val="24"/>
        </w:rPr>
        <w:t xml:space="preserve">a dejar de patologizar </w:t>
      </w:r>
      <w:r w:rsidR="00F9656C">
        <w:rPr>
          <w:rFonts w:ascii="Arial" w:eastAsia="Arial" w:hAnsi="Arial" w:cs="Arial"/>
          <w:color w:val="000000"/>
          <w:sz w:val="24"/>
          <w:szCs w:val="24"/>
        </w:rPr>
        <w:t xml:space="preserve">a las personas trans </w:t>
      </w:r>
      <w:r w:rsidR="00E008B9">
        <w:rPr>
          <w:rFonts w:ascii="Arial" w:eastAsia="Arial" w:hAnsi="Arial" w:cs="Arial"/>
          <w:sz w:val="24"/>
          <w:szCs w:val="24"/>
        </w:rPr>
        <w:t>implementando</w:t>
      </w:r>
      <w:r>
        <w:rPr>
          <w:rFonts w:ascii="Arial" w:eastAsia="Arial" w:hAnsi="Arial" w:cs="Arial"/>
          <w:color w:val="000000"/>
          <w:sz w:val="24"/>
          <w:szCs w:val="24"/>
        </w:rPr>
        <w:t xml:space="preserve"> el reconocimiento de identidades </w:t>
      </w:r>
      <w:proofErr w:type="spellStart"/>
      <w:r>
        <w:rPr>
          <w:rFonts w:ascii="Arial" w:eastAsia="Arial" w:hAnsi="Arial" w:cs="Arial"/>
          <w:sz w:val="24"/>
          <w:szCs w:val="24"/>
        </w:rPr>
        <w:t>autopercibidas</w:t>
      </w:r>
      <w:proofErr w:type="spellEnd"/>
      <w:r>
        <w:rPr>
          <w:rFonts w:ascii="Arial" w:eastAsia="Arial" w:hAnsi="Arial" w:cs="Arial"/>
          <w:color w:val="000000"/>
          <w:sz w:val="24"/>
          <w:szCs w:val="24"/>
        </w:rPr>
        <w:t xml:space="preserve"> e inte</w:t>
      </w:r>
      <w:r>
        <w:rPr>
          <w:rFonts w:ascii="Arial" w:eastAsia="Arial" w:hAnsi="Arial" w:cs="Arial"/>
          <w:color w:val="000000"/>
          <w:sz w:val="24"/>
          <w:szCs w:val="24"/>
        </w:rPr>
        <w:t>gr</w:t>
      </w:r>
      <w:r w:rsidR="00F9656C">
        <w:rPr>
          <w:rFonts w:ascii="Arial" w:eastAsia="Arial" w:hAnsi="Arial" w:cs="Arial"/>
          <w:color w:val="000000"/>
          <w:sz w:val="24"/>
          <w:szCs w:val="24"/>
        </w:rPr>
        <w:t>ando</w:t>
      </w:r>
      <w:r>
        <w:rPr>
          <w:rFonts w:ascii="Arial" w:eastAsia="Arial" w:hAnsi="Arial" w:cs="Arial"/>
          <w:color w:val="000000"/>
          <w:sz w:val="24"/>
          <w:szCs w:val="24"/>
        </w:rPr>
        <w:t xml:space="preserve"> las intervenciones de adecuación corporal al Plan Médico Obligatorio (PMO).</w:t>
      </w:r>
    </w:p>
    <w:p w14:paraId="69F13929" w14:textId="7CF06276"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sz w:val="24"/>
          <w:szCs w:val="24"/>
        </w:rPr>
        <w:t xml:space="preserve">Sin embargo, aunque se desarrolló este cambio la realidad sociosanitaria de esta comunidad sigue siendo crítica. Analizando algunos determinantes sociales, que van a condicionar el estado de salud de la población antes de ingresar al sistema, encontramos por ejemplo que según el informe </w:t>
      </w:r>
      <w:r>
        <w:rPr>
          <w:rFonts w:ascii="Arial" w:eastAsia="Arial" w:hAnsi="Arial" w:cs="Arial"/>
          <w:i/>
          <w:iCs/>
          <w:sz w:val="24"/>
          <w:szCs w:val="24"/>
        </w:rPr>
        <w:t>La Revolución de las Mariposas</w:t>
      </w:r>
      <w:r>
        <w:rPr>
          <w:rFonts w:ascii="Arial" w:eastAsia="Arial" w:hAnsi="Arial" w:cs="Arial"/>
          <w:sz w:val="24"/>
          <w:szCs w:val="24"/>
        </w:rPr>
        <w:t xml:space="preserve"> (Ministerio Público de la Defensa CABA, 2017) la expectativa de vida de las personas trans/travestis está entre los 35 y 41 año</w:t>
      </w:r>
      <w:r w:rsidR="00AB07D4">
        <w:rPr>
          <w:rFonts w:ascii="Arial" w:eastAsia="Arial" w:hAnsi="Arial" w:cs="Arial"/>
          <w:sz w:val="24"/>
          <w:szCs w:val="24"/>
        </w:rPr>
        <w:t>s</w:t>
      </w:r>
      <w:r>
        <w:rPr>
          <w:rFonts w:ascii="Arial" w:eastAsia="Arial" w:hAnsi="Arial" w:cs="Arial"/>
          <w:color w:val="000000"/>
          <w:sz w:val="24"/>
          <w:szCs w:val="24"/>
        </w:rPr>
        <w:t>.</w:t>
      </w:r>
      <w:r>
        <w:rPr>
          <w:rFonts w:ascii="Arial" w:eastAsia="Arial" w:hAnsi="Arial" w:cs="Arial"/>
          <w:color w:val="FF0000"/>
          <w:sz w:val="24"/>
          <w:szCs w:val="24"/>
        </w:rPr>
        <w:t xml:space="preserve"> </w:t>
      </w:r>
      <w:r>
        <w:rPr>
          <w:rFonts w:ascii="Arial" w:eastAsia="Arial" w:hAnsi="Arial" w:cs="Arial"/>
          <w:color w:val="000000"/>
          <w:sz w:val="24"/>
          <w:szCs w:val="24"/>
        </w:rPr>
        <w:t xml:space="preserve">Esta baja expectativa de vida no corresponde a razones biológicas, sino que viene de una cadena de exclusiones sistemática que empieza con la expulsión temprana del sistema educativo y del mercado laboral formal que lleva a que la población trans viva situaciones de marginalidad y violencia. </w:t>
      </w:r>
    </w:p>
    <w:p w14:paraId="662ACE55"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w:t>
      </w:r>
      <w:r>
        <w:rPr>
          <w:rFonts w:ascii="Arial" w:eastAsia="Arial" w:hAnsi="Arial" w:cs="Arial"/>
          <w:i/>
          <w:iCs/>
          <w:color w:val="000000"/>
          <w:sz w:val="24"/>
          <w:szCs w:val="24"/>
        </w:rPr>
        <w:t>Primer Relevamiento Nacional de Condiciones de Vida de la Diversidad Sexual y Genérica</w:t>
      </w:r>
      <w:r>
        <w:rPr>
          <w:rFonts w:ascii="Arial" w:eastAsia="Arial" w:hAnsi="Arial" w:cs="Arial"/>
          <w:color w:val="000000"/>
          <w:sz w:val="24"/>
          <w:szCs w:val="24"/>
        </w:rPr>
        <w:t xml:space="preserve"> aporta datos importantes que configuran el escenario de la demanda sanitaria. Según este relevamiento, “las tasas de desocupación son considerablemente mayores entre varones y masculinidades trans (14,3%), feminidades y mujeres travesti/</w:t>
      </w:r>
      <w:proofErr w:type="spellStart"/>
      <w:r>
        <w:rPr>
          <w:rFonts w:ascii="Arial" w:eastAsia="Arial" w:hAnsi="Arial" w:cs="Arial"/>
          <w:color w:val="000000"/>
          <w:sz w:val="24"/>
          <w:szCs w:val="24"/>
        </w:rPr>
        <w:t>trans</w:t>
      </w:r>
      <w:proofErr w:type="spellEnd"/>
      <w:r>
        <w:rPr>
          <w:rFonts w:ascii="Arial" w:eastAsia="Arial" w:hAnsi="Arial" w:cs="Arial"/>
          <w:color w:val="000000"/>
          <w:sz w:val="24"/>
          <w:szCs w:val="24"/>
        </w:rPr>
        <w:t xml:space="preserve"> (12,3%)” (</w:t>
      </w:r>
      <w:proofErr w:type="spellStart"/>
      <w:r>
        <w:rPr>
          <w:rFonts w:ascii="Arial" w:eastAsia="Arial" w:hAnsi="Arial" w:cs="Arial"/>
          <w:color w:val="000000"/>
          <w:sz w:val="24"/>
          <w:szCs w:val="24"/>
        </w:rPr>
        <w:t>Manzelli</w:t>
      </w:r>
      <w:proofErr w:type="spellEnd"/>
      <w:r>
        <w:rPr>
          <w:rFonts w:ascii="Arial" w:eastAsia="Arial" w:hAnsi="Arial" w:cs="Arial"/>
          <w:color w:val="000000"/>
          <w:sz w:val="24"/>
          <w:szCs w:val="24"/>
        </w:rPr>
        <w:t xml:space="preserve"> et al, 2023, p. 39) y en consecuencia carece de obra social o algún tipo de cobertura, haciendo que dependan exclusivamente del sistema público para su atención. E</w:t>
      </w:r>
      <w:r>
        <w:rPr>
          <w:rFonts w:ascii="Arial" w:eastAsia="Arial" w:hAnsi="Arial" w:cs="Arial"/>
          <w:color w:val="000000"/>
          <w:sz w:val="24"/>
          <w:szCs w:val="24"/>
        </w:rPr>
        <w:t xml:space="preserve">sto lleva a que se </w:t>
      </w:r>
      <w:r>
        <w:rPr>
          <w:rFonts w:ascii="Arial" w:eastAsia="Arial" w:hAnsi="Arial" w:cs="Arial"/>
          <w:color w:val="000000"/>
          <w:sz w:val="24"/>
          <w:szCs w:val="24"/>
        </w:rPr>
        <w:lastRenderedPageBreak/>
        <w:t xml:space="preserve">genere una presión </w:t>
      </w:r>
      <w:r>
        <w:rPr>
          <w:rFonts w:ascii="Arial" w:eastAsia="Arial" w:hAnsi="Arial" w:cs="Arial"/>
          <w:sz w:val="24"/>
          <w:szCs w:val="24"/>
        </w:rPr>
        <w:t>específica</w:t>
      </w:r>
      <w:r>
        <w:rPr>
          <w:rFonts w:ascii="Arial" w:eastAsia="Arial" w:hAnsi="Arial" w:cs="Arial"/>
          <w:color w:val="000000"/>
          <w:sz w:val="24"/>
          <w:szCs w:val="24"/>
        </w:rPr>
        <w:t xml:space="preserve"> a la gestión estatal donde deberá absorber una demanda compleja con recursos que ya están limitados. </w:t>
      </w:r>
    </w:p>
    <w:p w14:paraId="133A7710"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problema que esta investigación busca abordar es la brecha entre el marco legal y la realidad vivida por la comunidad trans. Si bien la Provincia de Buenos Aires ha desarrollado estrategias focalizadas (como los CI), estos padecen de múltiples fallas estructurales en su funcionamiento. La existencia de barreras burocráticas y la falta de insumos entre otras cosas </w:t>
      </w:r>
      <w:r>
        <w:rPr>
          <w:rFonts w:ascii="Arial" w:eastAsia="Arial" w:hAnsi="Arial" w:cs="Arial"/>
          <w:sz w:val="24"/>
          <w:szCs w:val="24"/>
        </w:rPr>
        <w:t>llevará</w:t>
      </w:r>
      <w:r>
        <w:rPr>
          <w:rFonts w:ascii="Arial" w:eastAsia="Arial" w:hAnsi="Arial" w:cs="Arial"/>
          <w:color w:val="000000"/>
          <w:sz w:val="24"/>
          <w:szCs w:val="24"/>
        </w:rPr>
        <w:t xml:space="preserve"> en varios casos a la judicialización. Según Ríos (2025), el recurso de amparo judicial para acceder a prestaciones básicas deja en evidencia una deficiencia administrativa: cuando la gestión sanitaria falla en dar ese servicio el sistema judicial tiene que intervenir aumentando los costos para el estado y fragmentando más el sistema de atención. </w:t>
      </w:r>
    </w:p>
    <w:p w14:paraId="44F64EAB" w14:textId="77777777" w:rsidR="002232E6" w:rsidRDefault="002232E6" w:rsidP="00D8002E">
      <w:pPr>
        <w:spacing w:line="360" w:lineRule="auto"/>
        <w:jc w:val="both"/>
        <w:rPr>
          <w:rFonts w:ascii="Arial" w:eastAsia="Arial" w:hAnsi="Arial" w:cs="Arial"/>
          <w:sz w:val="24"/>
          <w:szCs w:val="24"/>
          <w:u w:val="single"/>
        </w:rPr>
      </w:pPr>
    </w:p>
    <w:p w14:paraId="3834D641" w14:textId="77777777" w:rsidR="002232E6" w:rsidRPr="00D8002E" w:rsidRDefault="00501254">
      <w:pPr>
        <w:pStyle w:val="Heading2"/>
        <w:rPr>
          <w:u w:val="none"/>
        </w:rPr>
      </w:pPr>
      <w:bookmarkStart w:id="2" w:name="_heading=h.i69by4nagspd" w:colFirst="0" w:colLast="0"/>
      <w:bookmarkEnd w:id="2"/>
      <w:r w:rsidRPr="00D8002E">
        <w:rPr>
          <w:u w:val="none"/>
        </w:rPr>
        <w:t>Justificación de su relevancia:</w:t>
      </w:r>
    </w:p>
    <w:p w14:paraId="5E0C572D"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 xml:space="preserve">La relevancia de este trabajo tiene varias partes: Por un lado, desde el lugar de la gestión sanitaria es importante este análisis ya que la exclusión histórica de la comunidad trans ha llevado a que se generen patologías específicas que el sistema no está listo para abordar. Un ejemplo de eso es el manejo de las complicaciones provenientes del uso de siliconas líquidas inyectables que según </w:t>
      </w:r>
      <w:proofErr w:type="spellStart"/>
      <w:r>
        <w:rPr>
          <w:rFonts w:ascii="Arial" w:eastAsia="Arial" w:hAnsi="Arial" w:cs="Arial"/>
          <w:sz w:val="24"/>
          <w:szCs w:val="24"/>
        </w:rPr>
        <w:t>Lupi</w:t>
      </w:r>
      <w:proofErr w:type="spellEnd"/>
      <w:r>
        <w:rPr>
          <w:rFonts w:ascii="Arial" w:eastAsia="Arial" w:hAnsi="Arial" w:cs="Arial"/>
          <w:sz w:val="24"/>
          <w:szCs w:val="24"/>
        </w:rPr>
        <w:t xml:space="preserve"> et al. (2025) demuestra la necesidad urgente de diseñar guías y protocolos para el abordaje de las secuelas generadas por este tipo de tratamientos (como la migración de material) que hoy en día consumen más recursos hospitalarios de lo que es necesario y además generar una cadena de derivación. </w:t>
      </w:r>
    </w:p>
    <w:p w14:paraId="1A7931D7"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 xml:space="preserve">Por otro lado, es importante este análisis ya que fuera de analizar los consultorios en sí, se está analizando una política de “acción afirmativa” (que son políticas diseñadas para nivelar el acceso en contextos de desigualdad) que permitirá determinar si este tipo de discriminación positiva sigue siendo funcional y necesaria o si solo lo que logra es fragmentar más el sistema de salud, impidiendo que la comunidad trans realmente se integre a la red de salud. </w:t>
      </w:r>
    </w:p>
    <w:p w14:paraId="3679CC70"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lastRenderedPageBreak/>
        <w:t xml:space="preserve">Finalmente, desde la perspectiva de la gestión de los RRHH este tipo de programas dependen fuertemente del factor humano. Estudios como </w:t>
      </w:r>
      <w:r>
        <w:rPr>
          <w:rFonts w:ascii="Arial" w:eastAsia="Arial" w:hAnsi="Arial" w:cs="Arial"/>
          <w:i/>
          <w:iCs/>
          <w:sz w:val="24"/>
          <w:szCs w:val="24"/>
        </w:rPr>
        <w:t xml:space="preserve">De médicos, mediadores y gestores. El rol de los y las profesionales de la salud en la atención de la población LGTB+ </w:t>
      </w:r>
      <w:r>
        <w:rPr>
          <w:rFonts w:ascii="Arial" w:eastAsia="Arial" w:hAnsi="Arial" w:cs="Arial"/>
          <w:sz w:val="24"/>
          <w:szCs w:val="24"/>
        </w:rPr>
        <w:t xml:space="preserve">de </w:t>
      </w:r>
      <w:proofErr w:type="spellStart"/>
      <w:r>
        <w:rPr>
          <w:rFonts w:ascii="Arial" w:eastAsia="Arial" w:hAnsi="Arial" w:cs="Arial"/>
          <w:sz w:val="24"/>
          <w:szCs w:val="24"/>
        </w:rPr>
        <w:t>Darouiche</w:t>
      </w:r>
      <w:proofErr w:type="spellEnd"/>
      <w:r>
        <w:rPr>
          <w:rFonts w:ascii="Arial" w:eastAsia="Arial" w:hAnsi="Arial" w:cs="Arial"/>
          <w:sz w:val="24"/>
          <w:szCs w:val="24"/>
        </w:rPr>
        <w:t xml:space="preserve"> et al. (2025) describen una problemática crítica que los profesionales de salud hoy en día están actuando como “mediadores y gestores informales” ósea que ante la rigidez burocrática estos profesionales cubren las carencias institucionales que resuelve los problemas de forma inmediata pero representa un riesgo a la sostenibilidad a largo plazo (ya que un consultorio no puede dep</w:t>
      </w:r>
      <w:r>
        <w:rPr>
          <w:rFonts w:ascii="Arial" w:eastAsia="Arial" w:hAnsi="Arial" w:cs="Arial"/>
          <w:sz w:val="24"/>
          <w:szCs w:val="24"/>
        </w:rPr>
        <w:t>ender de una sola persona para atender y gestionar al mismo tiempo.)</w:t>
      </w:r>
    </w:p>
    <w:p w14:paraId="79A4BB87" w14:textId="77777777" w:rsidR="002232E6" w:rsidRDefault="002232E6">
      <w:pPr>
        <w:spacing w:line="360" w:lineRule="auto"/>
        <w:rPr>
          <w:rFonts w:ascii="Arial" w:eastAsia="Arial" w:hAnsi="Arial" w:cs="Arial"/>
          <w:b/>
          <w:bCs/>
          <w:sz w:val="32"/>
          <w:szCs w:val="32"/>
          <w:u w:val="single"/>
        </w:rPr>
      </w:pPr>
    </w:p>
    <w:p w14:paraId="3FBB17E3" w14:textId="77777777" w:rsidR="002232E6" w:rsidRPr="00D8002E" w:rsidRDefault="00501254">
      <w:pPr>
        <w:pStyle w:val="Heading2"/>
        <w:rPr>
          <w:u w:val="none"/>
        </w:rPr>
      </w:pPr>
      <w:bookmarkStart w:id="3" w:name="_heading=h.ucp3ufmz156w" w:colFirst="0" w:colLast="0"/>
      <w:bookmarkEnd w:id="3"/>
      <w:r w:rsidRPr="00D8002E">
        <w:rPr>
          <w:u w:val="none"/>
        </w:rPr>
        <w:t>Objetivos del trabajo:</w:t>
      </w:r>
    </w:p>
    <w:p w14:paraId="07904466"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 xml:space="preserve">Objetivo general: Evaluar el programa de Consultorios Inclusivos de la PBA como herramienta de gestión y la efectividad de ellos como estrategia de acción afirmativa para mitigar las barreras de acceso a la salud de la comunidad trans. </w:t>
      </w:r>
    </w:p>
    <w:p w14:paraId="449CA3DE"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 xml:space="preserve">Objetivos específicos: Caracterizar los Consultorios Inclusivos, analizando su estructura, procesos administrativos y los RRHH. </w:t>
      </w:r>
    </w:p>
    <w:p w14:paraId="484758EF"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Identificar los principales logros de este modelo en la reducción de las barreras de acceso simbólicas y organizacionales</w:t>
      </w:r>
    </w:p>
    <w:p w14:paraId="742BA821"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 xml:space="preserve">Analizar las debilidades estructurales y de gestión que comprometen la viabilidad del modelo a largo plazo, con el fin de proponer mejoras específicas para un mejor sistema de salud inclusivo. </w:t>
      </w:r>
    </w:p>
    <w:p w14:paraId="49DDFBFD" w14:textId="77777777" w:rsidR="002232E6" w:rsidRDefault="002232E6" w:rsidP="00D8002E">
      <w:pPr>
        <w:spacing w:line="360" w:lineRule="auto"/>
        <w:jc w:val="both"/>
        <w:rPr>
          <w:rFonts w:ascii="Arial" w:eastAsia="Arial" w:hAnsi="Arial" w:cs="Arial"/>
          <w:sz w:val="24"/>
          <w:szCs w:val="24"/>
        </w:rPr>
      </w:pPr>
    </w:p>
    <w:p w14:paraId="6418F871" w14:textId="77777777" w:rsidR="002232E6" w:rsidRDefault="002232E6">
      <w:pPr>
        <w:spacing w:line="360" w:lineRule="auto"/>
        <w:rPr>
          <w:rFonts w:ascii="Arial" w:eastAsia="Arial" w:hAnsi="Arial" w:cs="Arial"/>
          <w:sz w:val="24"/>
          <w:szCs w:val="24"/>
        </w:rPr>
      </w:pPr>
    </w:p>
    <w:p w14:paraId="2CFFF798" w14:textId="77777777" w:rsidR="002232E6" w:rsidRDefault="002232E6">
      <w:pPr>
        <w:spacing w:line="360" w:lineRule="auto"/>
        <w:rPr>
          <w:rFonts w:ascii="Arial" w:eastAsia="Arial" w:hAnsi="Arial" w:cs="Arial"/>
          <w:sz w:val="24"/>
          <w:szCs w:val="24"/>
          <w:u w:val="single"/>
        </w:rPr>
      </w:pPr>
    </w:p>
    <w:p w14:paraId="72CA5550" w14:textId="77777777" w:rsidR="002232E6" w:rsidRDefault="002232E6">
      <w:pPr>
        <w:spacing w:line="360" w:lineRule="auto"/>
        <w:rPr>
          <w:rFonts w:ascii="Arial" w:eastAsia="Arial" w:hAnsi="Arial" w:cs="Arial"/>
          <w:sz w:val="24"/>
          <w:szCs w:val="24"/>
          <w:u w:val="single"/>
        </w:rPr>
      </w:pPr>
    </w:p>
    <w:p w14:paraId="5737C8C2" w14:textId="77777777" w:rsidR="002232E6" w:rsidRPr="00D8002E" w:rsidRDefault="00501254" w:rsidP="00D8002E">
      <w:pPr>
        <w:pStyle w:val="Heading1"/>
        <w:jc w:val="left"/>
        <w:rPr>
          <w:u w:val="none"/>
        </w:rPr>
      </w:pPr>
      <w:bookmarkStart w:id="4" w:name="_heading=h.3iwyuyvnq5bf" w:colFirst="0" w:colLast="0"/>
      <w:bookmarkEnd w:id="4"/>
      <w:r w:rsidRPr="00D8002E">
        <w:rPr>
          <w:u w:val="none"/>
        </w:rPr>
        <w:lastRenderedPageBreak/>
        <w:t>Marco teórico y Antecedentes:</w:t>
      </w:r>
    </w:p>
    <w:p w14:paraId="121DAD7F" w14:textId="77777777" w:rsidR="002232E6" w:rsidRDefault="002232E6">
      <w:pPr>
        <w:spacing w:line="360" w:lineRule="auto"/>
        <w:rPr>
          <w:rFonts w:ascii="Arial" w:eastAsia="Arial" w:hAnsi="Arial" w:cs="Arial"/>
          <w:b/>
          <w:bCs/>
          <w:color w:val="000000"/>
          <w:sz w:val="24"/>
          <w:szCs w:val="24"/>
          <w:u w:val="single"/>
        </w:rPr>
      </w:pPr>
    </w:p>
    <w:p w14:paraId="17958DA6" w14:textId="77777777" w:rsidR="002232E6" w:rsidRPr="00D8002E" w:rsidRDefault="00501254">
      <w:pPr>
        <w:pStyle w:val="Heading2"/>
        <w:rPr>
          <w:u w:val="none"/>
        </w:rPr>
      </w:pPr>
      <w:bookmarkStart w:id="5" w:name="_heading=h.n9pbiohb73mp" w:colFirst="0" w:colLast="0"/>
      <w:bookmarkEnd w:id="5"/>
      <w:r w:rsidRPr="00D8002E">
        <w:rPr>
          <w:u w:val="none"/>
        </w:rPr>
        <w:t>Contexto de la Discriminación:</w:t>
      </w:r>
    </w:p>
    <w:p w14:paraId="5F67C8BC" w14:textId="77777777" w:rsidR="002232E6" w:rsidRDefault="00501254" w:rsidP="00D8002E">
      <w:pPr>
        <w:spacing w:line="360" w:lineRule="auto"/>
        <w:jc w:val="both"/>
        <w:rPr>
          <w:rFonts w:ascii="Arial" w:eastAsia="Arial" w:hAnsi="Arial" w:cs="Arial"/>
          <w:b/>
          <w:bCs/>
          <w:color w:val="000000"/>
          <w:sz w:val="24"/>
          <w:szCs w:val="24"/>
        </w:rPr>
      </w:pPr>
      <w:r>
        <w:rPr>
          <w:rFonts w:ascii="Arial" w:eastAsia="Arial" w:hAnsi="Arial" w:cs="Arial"/>
          <w:color w:val="000000"/>
          <w:sz w:val="24"/>
          <w:szCs w:val="24"/>
        </w:rPr>
        <w:t xml:space="preserve">La relación entre la población trans y el sistema de salud argentino ha estado </w:t>
      </w:r>
      <w:r>
        <w:rPr>
          <w:rFonts w:ascii="Arial" w:eastAsia="Arial" w:hAnsi="Arial" w:cs="Arial"/>
          <w:sz w:val="24"/>
          <w:szCs w:val="24"/>
        </w:rPr>
        <w:t>marcada</w:t>
      </w:r>
      <w:r>
        <w:rPr>
          <w:rFonts w:ascii="Arial" w:eastAsia="Arial" w:hAnsi="Arial" w:cs="Arial"/>
          <w:color w:val="000000"/>
          <w:sz w:val="24"/>
          <w:szCs w:val="24"/>
        </w:rPr>
        <w:t xml:space="preserve"> históricamente por la exclusión y la violencia institucional. Para poder analizar la necesidad y funcionamiento de los Consultorios Inclusivos es esencial primero comprender el contexto que </w:t>
      </w:r>
      <w:r>
        <w:rPr>
          <w:rFonts w:ascii="Arial" w:eastAsia="Arial" w:hAnsi="Arial" w:cs="Arial"/>
          <w:sz w:val="24"/>
          <w:szCs w:val="24"/>
        </w:rPr>
        <w:t>determinó</w:t>
      </w:r>
      <w:r>
        <w:rPr>
          <w:rFonts w:ascii="Arial" w:eastAsia="Arial" w:hAnsi="Arial" w:cs="Arial"/>
          <w:color w:val="000000"/>
          <w:sz w:val="24"/>
          <w:szCs w:val="24"/>
        </w:rPr>
        <w:t xml:space="preserve"> el acceso a la salud de esta comunidad. </w:t>
      </w:r>
    </w:p>
    <w:p w14:paraId="2B8CAD50"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Según </w:t>
      </w:r>
      <w:proofErr w:type="spellStart"/>
      <w:r>
        <w:rPr>
          <w:rFonts w:ascii="Arial" w:eastAsia="Arial" w:hAnsi="Arial" w:cs="Arial"/>
          <w:color w:val="000000"/>
          <w:sz w:val="24"/>
          <w:szCs w:val="24"/>
        </w:rPr>
        <w:t>Lupi</w:t>
      </w:r>
      <w:proofErr w:type="spellEnd"/>
      <w:r>
        <w:rPr>
          <w:rFonts w:ascii="Arial" w:eastAsia="Arial" w:hAnsi="Arial" w:cs="Arial"/>
          <w:color w:val="000000"/>
          <w:sz w:val="24"/>
          <w:szCs w:val="24"/>
        </w:rPr>
        <w:t xml:space="preserve"> et al. (2025), el sistema sanitario opera tradicionalmente bajo un Modelo Médico Hegemónico, caracterizado por ser biologicista, a-histórico y cis-sexista. Bajo este paradigma, las identidades fuera de lo cisgénero y heterosexual son interpretadas como anomalías o patologías a "curar" o corregir.</w:t>
      </w:r>
      <w:r>
        <w:rPr>
          <w:rFonts w:ascii="Arial" w:eastAsia="Arial" w:hAnsi="Arial" w:cs="Arial"/>
          <w:b/>
          <w:bCs/>
          <w:color w:val="000000"/>
          <w:sz w:val="24"/>
          <w:szCs w:val="24"/>
        </w:rPr>
        <w:t xml:space="preserve"> </w:t>
      </w:r>
      <w:r>
        <w:rPr>
          <w:rFonts w:ascii="Arial" w:eastAsia="Arial" w:hAnsi="Arial" w:cs="Arial"/>
          <w:color w:val="000000"/>
          <w:sz w:val="24"/>
          <w:szCs w:val="24"/>
        </w:rPr>
        <w:t xml:space="preserve">Esta discriminación se ve reflejada en los servicios de atención donde la comunidad trans es expulsada sistemáticamente mediante barreras administrativas y simbólicas. </w:t>
      </w:r>
    </w:p>
    <w:p w14:paraId="4EE1A7CF"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vulnerabilidad diferencial vivida por esta comunidad no es una característica inherente a ella, sino que es una consecuencia directa de la exclusión que viven combinado con la falta de acceso a derechos fundamentales (como la salud, el trabajo y la vivienda digna). El informe </w:t>
      </w:r>
      <w:r>
        <w:rPr>
          <w:rFonts w:ascii="Arial" w:eastAsia="Arial" w:hAnsi="Arial" w:cs="Arial"/>
          <w:i/>
          <w:iCs/>
          <w:color w:val="000000"/>
          <w:sz w:val="24"/>
          <w:szCs w:val="24"/>
        </w:rPr>
        <w:t xml:space="preserve">La Revolución de las Mariposas </w:t>
      </w:r>
      <w:r>
        <w:rPr>
          <w:rFonts w:ascii="Arial" w:eastAsia="Arial" w:hAnsi="Arial" w:cs="Arial"/>
          <w:color w:val="000000"/>
          <w:sz w:val="24"/>
          <w:szCs w:val="24"/>
        </w:rPr>
        <w:t xml:space="preserve">muestra claramente esto mencionando que la expectativa de vida de las personas travestis y trans </w:t>
      </w:r>
      <w:r>
        <w:rPr>
          <w:rFonts w:ascii="Arial" w:eastAsia="Arial" w:hAnsi="Arial" w:cs="Arial"/>
          <w:sz w:val="24"/>
          <w:szCs w:val="24"/>
        </w:rPr>
        <w:t>está</w:t>
      </w:r>
      <w:r>
        <w:rPr>
          <w:rFonts w:ascii="Arial" w:eastAsia="Arial" w:hAnsi="Arial" w:cs="Arial"/>
          <w:color w:val="000000"/>
          <w:sz w:val="24"/>
          <w:szCs w:val="24"/>
        </w:rPr>
        <w:t xml:space="preserve"> entre los 35 a 40 años. </w:t>
      </w:r>
    </w:p>
    <w:p w14:paraId="41EF908F"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También, </w:t>
      </w:r>
      <w:proofErr w:type="spellStart"/>
      <w:r>
        <w:rPr>
          <w:rFonts w:ascii="Arial" w:eastAsia="Arial" w:hAnsi="Arial" w:cs="Arial"/>
          <w:color w:val="000000"/>
          <w:sz w:val="24"/>
          <w:szCs w:val="24"/>
        </w:rPr>
        <w:t>Vissicchio</w:t>
      </w:r>
      <w:proofErr w:type="spellEnd"/>
      <w:r>
        <w:rPr>
          <w:rFonts w:ascii="Arial" w:eastAsia="Arial" w:hAnsi="Arial" w:cs="Arial"/>
          <w:color w:val="000000"/>
          <w:sz w:val="24"/>
          <w:szCs w:val="24"/>
        </w:rPr>
        <w:t xml:space="preserve"> et al. (2023) remarcan que el estigma y discriminación vivida actúan como barreras al acceso que llevaran a que las personas trans eviten o retrasen las consultas médicas. Desde la perspectiva de la gestión sanitaria, esto </w:t>
      </w:r>
      <w:r>
        <w:rPr>
          <w:rFonts w:ascii="Arial" w:eastAsia="Arial" w:hAnsi="Arial" w:cs="Arial"/>
          <w:sz w:val="24"/>
          <w:szCs w:val="24"/>
        </w:rPr>
        <w:t>generará</w:t>
      </w:r>
      <w:r>
        <w:rPr>
          <w:rFonts w:ascii="Arial" w:eastAsia="Arial" w:hAnsi="Arial" w:cs="Arial"/>
          <w:color w:val="000000"/>
          <w:sz w:val="24"/>
          <w:szCs w:val="24"/>
        </w:rPr>
        <w:t xml:space="preserve"> un problema de eficiencia. Los pacientes llegan a los centros con cuadros avanzados que podrían haberse prevenido, derivando a muertes tempranas, enfermedades graves prevenibles y altos costos de internación evitables. </w:t>
      </w:r>
    </w:p>
    <w:p w14:paraId="1E89880E" w14:textId="77777777" w:rsidR="002232E6" w:rsidRDefault="002232E6">
      <w:pPr>
        <w:spacing w:line="360" w:lineRule="auto"/>
        <w:rPr>
          <w:rFonts w:ascii="Arial" w:eastAsia="Arial" w:hAnsi="Arial" w:cs="Arial"/>
          <w:color w:val="000000"/>
          <w:sz w:val="24"/>
          <w:szCs w:val="24"/>
        </w:rPr>
      </w:pPr>
    </w:p>
    <w:p w14:paraId="1D354D37" w14:textId="77777777" w:rsidR="002232E6" w:rsidRPr="00D8002E" w:rsidRDefault="00501254" w:rsidP="00D8002E">
      <w:pPr>
        <w:pStyle w:val="Heading2"/>
        <w:rPr>
          <w:u w:val="none"/>
        </w:rPr>
      </w:pPr>
      <w:bookmarkStart w:id="6" w:name="_heading=h.4dkarwlrzxk2" w:colFirst="0" w:colLast="0"/>
      <w:bookmarkEnd w:id="6"/>
      <w:r w:rsidRPr="00D8002E">
        <w:rPr>
          <w:u w:val="none"/>
        </w:rPr>
        <w:lastRenderedPageBreak/>
        <w:t xml:space="preserve">Evolución de los centros: de lo Epidemiológico a lo Integral: </w:t>
      </w:r>
    </w:p>
    <w:p w14:paraId="20DFFF70"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Dentro de este contexto de exclusión, a principios de los 2000 surgieron las primeras estrategias de gestión con un enfoque </w:t>
      </w:r>
      <w:r>
        <w:rPr>
          <w:rFonts w:ascii="Arial" w:eastAsia="Arial" w:hAnsi="Arial" w:cs="Arial"/>
          <w:sz w:val="24"/>
          <w:szCs w:val="24"/>
        </w:rPr>
        <w:t>en la</w:t>
      </w:r>
      <w:r>
        <w:rPr>
          <w:rFonts w:ascii="Arial" w:eastAsia="Arial" w:hAnsi="Arial" w:cs="Arial"/>
          <w:color w:val="000000"/>
          <w:sz w:val="24"/>
          <w:szCs w:val="24"/>
        </w:rPr>
        <w:t xml:space="preserve"> comunidad LGBT. Se abrieron centros de atención denominados “Consultorios Amigables”, implementados principalmente como respuesta de emergencia ante la epidemia de VIH/SIDA. </w:t>
      </w:r>
    </w:p>
    <w:p w14:paraId="4C5737F7"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Lo que estos consultorios buscaban era promover el testeo, el diagnóstico temprano y la adherencia al régimen de tratamiento antirretroviral. Se enfocaban en las poblaciones más vulnerables. Aunque el enfoque de estos centros era principalmente epidemiológico y su atención estaba limitada a la salud sexual, </w:t>
      </w:r>
      <w:proofErr w:type="spellStart"/>
      <w:r>
        <w:rPr>
          <w:rFonts w:ascii="Arial" w:eastAsia="Arial" w:hAnsi="Arial" w:cs="Arial"/>
          <w:color w:val="000000"/>
          <w:sz w:val="24"/>
          <w:szCs w:val="24"/>
        </w:rPr>
        <w:t>Dellacasa</w:t>
      </w:r>
      <w:proofErr w:type="spellEnd"/>
      <w:r>
        <w:rPr>
          <w:rFonts w:ascii="Arial" w:eastAsia="Arial" w:hAnsi="Arial" w:cs="Arial"/>
          <w:color w:val="000000"/>
          <w:sz w:val="24"/>
          <w:szCs w:val="24"/>
        </w:rPr>
        <w:t xml:space="preserve"> (2023a) destaca que solo con su existencia estos centros fueron fundamentales porque abrieron la puerta para futuros proyectos que tendrían un enfoque más social e integral. </w:t>
      </w:r>
    </w:p>
    <w:p w14:paraId="490AD51F" w14:textId="77777777" w:rsidR="002232E6" w:rsidRDefault="002232E6">
      <w:pPr>
        <w:spacing w:line="360" w:lineRule="auto"/>
        <w:rPr>
          <w:rFonts w:ascii="Arial" w:eastAsia="Arial" w:hAnsi="Arial" w:cs="Arial"/>
          <w:b/>
          <w:bCs/>
          <w:color w:val="EE0000"/>
          <w:sz w:val="24"/>
          <w:szCs w:val="24"/>
        </w:rPr>
      </w:pPr>
    </w:p>
    <w:p w14:paraId="3F9EF0A9" w14:textId="77777777" w:rsidR="002232E6" w:rsidRPr="00D8002E" w:rsidRDefault="00501254" w:rsidP="00D8002E">
      <w:pPr>
        <w:pStyle w:val="Heading2"/>
        <w:rPr>
          <w:u w:val="none"/>
        </w:rPr>
      </w:pPr>
      <w:bookmarkStart w:id="7" w:name="_heading=h.240a84aeu83q" w:colFirst="0" w:colLast="0"/>
      <w:bookmarkEnd w:id="7"/>
      <w:r w:rsidRPr="00D8002E">
        <w:rPr>
          <w:u w:val="none"/>
        </w:rPr>
        <w:t>La Ley de Identidad de Género y el Nuevo paradigma</w:t>
      </w:r>
    </w:p>
    <w:p w14:paraId="4F835A89"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sanción de la Ley de Identidad de Género N° 26.743 en 2012 </w:t>
      </w:r>
      <w:r>
        <w:rPr>
          <w:rFonts w:ascii="Arial" w:eastAsia="Arial" w:hAnsi="Arial" w:cs="Arial"/>
          <w:sz w:val="24"/>
          <w:szCs w:val="24"/>
        </w:rPr>
        <w:t>marcó</w:t>
      </w:r>
      <w:r>
        <w:rPr>
          <w:rFonts w:ascii="Arial" w:eastAsia="Arial" w:hAnsi="Arial" w:cs="Arial"/>
          <w:color w:val="000000"/>
          <w:sz w:val="24"/>
          <w:szCs w:val="24"/>
        </w:rPr>
        <w:t xml:space="preserve"> un punto de inflexión decisivo. Esta normativa </w:t>
      </w:r>
      <w:r>
        <w:rPr>
          <w:rFonts w:ascii="Arial" w:eastAsia="Arial" w:hAnsi="Arial" w:cs="Arial"/>
          <w:sz w:val="24"/>
          <w:szCs w:val="24"/>
        </w:rPr>
        <w:t>generó</w:t>
      </w:r>
      <w:r>
        <w:rPr>
          <w:rFonts w:ascii="Arial" w:eastAsia="Arial" w:hAnsi="Arial" w:cs="Arial"/>
          <w:color w:val="000000"/>
          <w:sz w:val="24"/>
          <w:szCs w:val="24"/>
        </w:rPr>
        <w:t xml:space="preserve"> un cambio en el paradigma jurídico y sanitario ya que despatologizo las identidades trans y reconoció el derecho a la identidad de género </w:t>
      </w:r>
      <w:proofErr w:type="spellStart"/>
      <w:r>
        <w:rPr>
          <w:rFonts w:ascii="Arial" w:eastAsia="Arial" w:hAnsi="Arial" w:cs="Arial"/>
          <w:sz w:val="24"/>
          <w:szCs w:val="24"/>
        </w:rPr>
        <w:t>autopercibida</w:t>
      </w:r>
      <w:proofErr w:type="spellEnd"/>
      <w:r>
        <w:rPr>
          <w:rFonts w:ascii="Arial" w:eastAsia="Arial" w:hAnsi="Arial" w:cs="Arial"/>
          <w:color w:val="000000"/>
          <w:sz w:val="24"/>
          <w:szCs w:val="24"/>
        </w:rPr>
        <w:t xml:space="preserve"> sin la necesidad de un diagnóstico médico. </w:t>
      </w:r>
    </w:p>
    <w:p w14:paraId="7D351D1F"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Este avance </w:t>
      </w:r>
      <w:r>
        <w:rPr>
          <w:rFonts w:ascii="Arial" w:eastAsia="Arial" w:hAnsi="Arial" w:cs="Arial"/>
          <w:sz w:val="24"/>
          <w:szCs w:val="24"/>
        </w:rPr>
        <w:t>llevó</w:t>
      </w:r>
      <w:r>
        <w:rPr>
          <w:rFonts w:ascii="Arial" w:eastAsia="Arial" w:hAnsi="Arial" w:cs="Arial"/>
          <w:color w:val="000000"/>
          <w:sz w:val="24"/>
          <w:szCs w:val="24"/>
        </w:rPr>
        <w:t xml:space="preserve"> a una reconfiguración obligatoria de las políticas públicas de atención de salud. Se impulsaron nuevos proyectos (como los Consultorios Inclusivos) para responder a las nuevas obligaciones que fueron impuestas por la ley, como: </w:t>
      </w:r>
    </w:p>
    <w:p w14:paraId="79AB28EB"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artículo </w:t>
      </w:r>
      <w:r>
        <w:rPr>
          <w:rFonts w:ascii="Arial" w:eastAsia="Arial" w:hAnsi="Arial" w:cs="Arial"/>
          <w:sz w:val="24"/>
          <w:szCs w:val="24"/>
        </w:rPr>
        <w:t>11 declara</w:t>
      </w:r>
      <w:r>
        <w:rPr>
          <w:rFonts w:ascii="Arial" w:eastAsia="Arial" w:hAnsi="Arial" w:cs="Arial"/>
          <w:color w:val="000000"/>
          <w:sz w:val="24"/>
          <w:szCs w:val="24"/>
        </w:rPr>
        <w:t xml:space="preserve"> la inclusión de tratamientos de adecuación corporal (hominización y cirugías) en el Programa </w:t>
      </w:r>
      <w:r>
        <w:rPr>
          <w:rFonts w:ascii="Arial" w:eastAsia="Arial" w:hAnsi="Arial" w:cs="Arial"/>
          <w:sz w:val="24"/>
          <w:szCs w:val="24"/>
        </w:rPr>
        <w:t>Médico</w:t>
      </w:r>
      <w:r>
        <w:rPr>
          <w:rFonts w:ascii="Arial" w:eastAsia="Arial" w:hAnsi="Arial" w:cs="Arial"/>
          <w:color w:val="000000"/>
          <w:sz w:val="24"/>
          <w:szCs w:val="24"/>
        </w:rPr>
        <w:t xml:space="preserve"> Obligatorio (PMO) con cobertura del 100%. Además, el </w:t>
      </w:r>
      <w:r>
        <w:rPr>
          <w:rFonts w:ascii="Arial" w:eastAsia="Arial" w:hAnsi="Arial" w:cs="Arial"/>
          <w:sz w:val="24"/>
          <w:szCs w:val="24"/>
        </w:rPr>
        <w:t>artículo</w:t>
      </w:r>
      <w:r>
        <w:rPr>
          <w:rFonts w:ascii="Arial" w:eastAsia="Arial" w:hAnsi="Arial" w:cs="Arial"/>
          <w:color w:val="000000"/>
          <w:sz w:val="24"/>
          <w:szCs w:val="24"/>
        </w:rPr>
        <w:t xml:space="preserve"> 12 declara la obligación al trato digno en todos los registros administrativos. </w:t>
      </w:r>
    </w:p>
    <w:p w14:paraId="364DA68C"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 xml:space="preserve">Con todo esto, se desplazó el objetivo de la atención LGBT: Ya no se trata solo de prevenir enfermedades prevalentes en la comunidad sino de garantizar una Atención Integral de la Salud. </w:t>
      </w:r>
    </w:p>
    <w:p w14:paraId="5BFB2758"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Sin embargo, esta implementación </w:t>
      </w:r>
      <w:r>
        <w:rPr>
          <w:rFonts w:ascii="Arial" w:eastAsia="Arial" w:hAnsi="Arial" w:cs="Arial"/>
          <w:sz w:val="24"/>
          <w:szCs w:val="24"/>
        </w:rPr>
        <w:t>presentó</w:t>
      </w:r>
      <w:r>
        <w:rPr>
          <w:rFonts w:ascii="Arial" w:eastAsia="Arial" w:hAnsi="Arial" w:cs="Arial"/>
          <w:color w:val="000000"/>
          <w:sz w:val="24"/>
          <w:szCs w:val="24"/>
        </w:rPr>
        <w:t xml:space="preserve"> desafíos de gestión importantes. Según </w:t>
      </w:r>
      <w:proofErr w:type="spellStart"/>
      <w:r>
        <w:rPr>
          <w:rFonts w:ascii="Arial" w:eastAsia="Arial" w:hAnsi="Arial" w:cs="Arial"/>
          <w:color w:val="000000"/>
          <w:sz w:val="24"/>
          <w:szCs w:val="24"/>
        </w:rPr>
        <w:t>Darouiche</w:t>
      </w:r>
      <w:proofErr w:type="spellEnd"/>
      <w:r>
        <w:rPr>
          <w:rFonts w:ascii="Arial" w:eastAsia="Arial" w:hAnsi="Arial" w:cs="Arial"/>
          <w:color w:val="000000"/>
          <w:sz w:val="24"/>
          <w:szCs w:val="24"/>
        </w:rPr>
        <w:t xml:space="preserve"> et al. (2025), este cambio no siempre fue impulsado por directores de hospitales, sino que muchos de estos cambios se dieron desde profesionales de salud. Estos profesionales, operando como gestores informales impulsaron de forma individual este tipo de programas ante la ausencia de dirección clara por parte de las autoridades centrales. Esto </w:t>
      </w:r>
      <w:r>
        <w:rPr>
          <w:rFonts w:ascii="Arial" w:eastAsia="Arial" w:hAnsi="Arial" w:cs="Arial"/>
          <w:sz w:val="24"/>
          <w:szCs w:val="24"/>
        </w:rPr>
        <w:t>llevó</w:t>
      </w:r>
      <w:r>
        <w:rPr>
          <w:rFonts w:ascii="Arial" w:eastAsia="Arial" w:hAnsi="Arial" w:cs="Arial"/>
          <w:color w:val="000000"/>
          <w:sz w:val="24"/>
          <w:szCs w:val="24"/>
        </w:rPr>
        <w:t xml:space="preserve"> a un modelo de atención heterogéneo que depende de voluntades personales y en consecuencia difícil de sostener en el tiempo. </w:t>
      </w:r>
    </w:p>
    <w:p w14:paraId="4D2136AE" w14:textId="77777777" w:rsidR="002232E6" w:rsidRDefault="002232E6">
      <w:pPr>
        <w:spacing w:line="360" w:lineRule="auto"/>
        <w:rPr>
          <w:rFonts w:ascii="Arial" w:eastAsia="Arial" w:hAnsi="Arial" w:cs="Arial"/>
          <w:b/>
          <w:bCs/>
          <w:color w:val="EE0000"/>
          <w:sz w:val="24"/>
          <w:szCs w:val="24"/>
        </w:rPr>
      </w:pPr>
    </w:p>
    <w:p w14:paraId="0E3B97A4" w14:textId="77777777" w:rsidR="002232E6" w:rsidRPr="00D8002E" w:rsidRDefault="00501254" w:rsidP="00D8002E">
      <w:pPr>
        <w:pStyle w:val="Heading2"/>
        <w:rPr>
          <w:u w:val="none"/>
        </w:rPr>
      </w:pPr>
      <w:bookmarkStart w:id="8" w:name="_heading=h.s8j9hje5ib3v" w:colFirst="0" w:colLast="0"/>
      <w:bookmarkEnd w:id="8"/>
      <w:r w:rsidRPr="00D8002E">
        <w:rPr>
          <w:u w:val="none"/>
        </w:rPr>
        <w:t xml:space="preserve">El impacto de los determinantes sociales: </w:t>
      </w:r>
    </w:p>
    <w:p w14:paraId="1F352DAC"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Para poder analizar este tipo de servicios es esencial incorporar los determinantes sociales que fueron identificados en los informes de gestión y en el relevamiento: </w:t>
      </w:r>
    </w:p>
    <w:p w14:paraId="5625D0B6"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Primero la barrera educativa, la expulsión temprana del sistema escolar (gracias a la discriminación) genera nivel bajo de concientización sanitaria, dificultando la autopercepción de síntomas </w:t>
      </w:r>
      <w:proofErr w:type="gramStart"/>
      <w:r>
        <w:rPr>
          <w:rFonts w:ascii="Arial" w:eastAsia="Arial" w:hAnsi="Arial" w:cs="Arial"/>
          <w:color w:val="000000"/>
          <w:sz w:val="24"/>
          <w:szCs w:val="24"/>
        </w:rPr>
        <w:t>y</w:t>
      </w:r>
      <w:proofErr w:type="gramEnd"/>
      <w:r>
        <w:rPr>
          <w:rFonts w:ascii="Arial" w:eastAsia="Arial" w:hAnsi="Arial" w:cs="Arial"/>
          <w:color w:val="000000"/>
          <w:sz w:val="24"/>
          <w:szCs w:val="24"/>
        </w:rPr>
        <w:t xml:space="preserve"> además, dificultando la navegación dentro del sistema sanitario. Segundo, según El </w:t>
      </w:r>
      <w:r>
        <w:rPr>
          <w:rFonts w:ascii="Arial" w:eastAsia="Arial" w:hAnsi="Arial" w:cs="Arial"/>
          <w:i/>
          <w:iCs/>
          <w:color w:val="000000"/>
          <w:sz w:val="24"/>
          <w:szCs w:val="24"/>
        </w:rPr>
        <w:t>Primer Relevamiento Nacional</w:t>
      </w:r>
      <w:r>
        <w:rPr>
          <w:rFonts w:ascii="Arial" w:eastAsia="Arial" w:hAnsi="Arial" w:cs="Arial"/>
          <w:color w:val="000000"/>
          <w:sz w:val="24"/>
          <w:szCs w:val="24"/>
        </w:rPr>
        <w:t xml:space="preserve"> (</w:t>
      </w:r>
      <w:proofErr w:type="spellStart"/>
      <w:r>
        <w:rPr>
          <w:rFonts w:ascii="Arial" w:eastAsia="Arial" w:hAnsi="Arial" w:cs="Arial"/>
          <w:color w:val="000000"/>
          <w:sz w:val="24"/>
          <w:szCs w:val="24"/>
        </w:rPr>
        <w:t>Manzelli</w:t>
      </w:r>
      <w:proofErr w:type="spellEnd"/>
      <w:r>
        <w:rPr>
          <w:rFonts w:ascii="Arial" w:eastAsia="Arial" w:hAnsi="Arial" w:cs="Arial"/>
          <w:color w:val="000000"/>
          <w:sz w:val="24"/>
          <w:szCs w:val="24"/>
        </w:rPr>
        <w:t xml:space="preserve"> et al., 2023), la mayoría de la población trans no tiene empleo formal, llevando a que el estado sea el único prestador disponible generando una presión especifica en el sistema de salud público. </w:t>
      </w:r>
    </w:p>
    <w:p w14:paraId="03C4BCEC" w14:textId="77777777" w:rsidR="002232E6" w:rsidRDefault="002232E6" w:rsidP="00D8002E">
      <w:pPr>
        <w:spacing w:line="360" w:lineRule="auto"/>
        <w:jc w:val="both"/>
        <w:rPr>
          <w:rFonts w:ascii="Arial" w:eastAsia="Arial" w:hAnsi="Arial" w:cs="Arial"/>
          <w:b/>
          <w:bCs/>
          <w:color w:val="EE0000"/>
          <w:sz w:val="24"/>
          <w:szCs w:val="24"/>
        </w:rPr>
      </w:pPr>
    </w:p>
    <w:p w14:paraId="2D90654E" w14:textId="77777777" w:rsidR="002232E6" w:rsidRDefault="002232E6" w:rsidP="00D8002E">
      <w:pPr>
        <w:spacing w:line="360" w:lineRule="auto"/>
        <w:jc w:val="both"/>
        <w:rPr>
          <w:rFonts w:ascii="Arial" w:eastAsia="Arial" w:hAnsi="Arial" w:cs="Arial"/>
          <w:b/>
          <w:bCs/>
          <w:color w:val="EE0000"/>
          <w:sz w:val="24"/>
          <w:szCs w:val="24"/>
        </w:rPr>
      </w:pPr>
    </w:p>
    <w:p w14:paraId="178B2453" w14:textId="77777777" w:rsidR="002232E6" w:rsidRDefault="002232E6" w:rsidP="00D8002E">
      <w:pPr>
        <w:spacing w:line="360" w:lineRule="auto"/>
        <w:jc w:val="both"/>
        <w:rPr>
          <w:rFonts w:ascii="Arial" w:eastAsia="Arial" w:hAnsi="Arial" w:cs="Arial"/>
          <w:b/>
          <w:bCs/>
          <w:color w:val="EE0000"/>
          <w:sz w:val="24"/>
          <w:szCs w:val="24"/>
        </w:rPr>
      </w:pPr>
    </w:p>
    <w:p w14:paraId="4FFD4677" w14:textId="77777777" w:rsidR="002232E6" w:rsidRDefault="002232E6">
      <w:pPr>
        <w:spacing w:line="360" w:lineRule="auto"/>
        <w:rPr>
          <w:rFonts w:ascii="Arial" w:eastAsia="Arial" w:hAnsi="Arial" w:cs="Arial"/>
          <w:b/>
          <w:bCs/>
          <w:color w:val="EE0000"/>
          <w:sz w:val="24"/>
          <w:szCs w:val="24"/>
        </w:rPr>
      </w:pPr>
    </w:p>
    <w:p w14:paraId="4285138E" w14:textId="77777777" w:rsidR="002232E6" w:rsidRDefault="002232E6">
      <w:pPr>
        <w:spacing w:line="360" w:lineRule="auto"/>
        <w:rPr>
          <w:rFonts w:ascii="Arial" w:eastAsia="Arial" w:hAnsi="Arial" w:cs="Arial"/>
          <w:b/>
          <w:bCs/>
          <w:color w:val="EE0000"/>
          <w:sz w:val="24"/>
          <w:szCs w:val="24"/>
        </w:rPr>
      </w:pPr>
    </w:p>
    <w:p w14:paraId="064BFDA4" w14:textId="77777777" w:rsidR="002232E6" w:rsidRPr="00D8002E" w:rsidRDefault="00501254" w:rsidP="00D8002E">
      <w:pPr>
        <w:pStyle w:val="Heading2"/>
        <w:rPr>
          <w:u w:val="none"/>
        </w:rPr>
      </w:pPr>
      <w:bookmarkStart w:id="9" w:name="_heading=h.m59ta2e3fhkx" w:colFirst="0" w:colLast="0"/>
      <w:bookmarkEnd w:id="9"/>
      <w:r w:rsidRPr="00D8002E">
        <w:rPr>
          <w:u w:val="none"/>
        </w:rPr>
        <w:lastRenderedPageBreak/>
        <w:t>Teoría de las Barreras y su clasificación</w:t>
      </w:r>
    </w:p>
    <w:p w14:paraId="2C4E21E5"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Finalmente, para el análisis de los resultados se utilizará la categorización teórica de </w:t>
      </w:r>
      <w:proofErr w:type="spellStart"/>
      <w:r>
        <w:rPr>
          <w:rFonts w:ascii="Arial" w:eastAsia="Arial" w:hAnsi="Arial" w:cs="Arial"/>
          <w:color w:val="000000"/>
          <w:sz w:val="24"/>
          <w:szCs w:val="24"/>
        </w:rPr>
        <w:t>Vissicchio</w:t>
      </w:r>
      <w:proofErr w:type="spellEnd"/>
      <w:r>
        <w:rPr>
          <w:rFonts w:ascii="Arial" w:eastAsia="Arial" w:hAnsi="Arial" w:cs="Arial"/>
          <w:color w:val="000000"/>
          <w:sz w:val="24"/>
          <w:szCs w:val="24"/>
        </w:rPr>
        <w:t xml:space="preserve"> et al. (2023) que permite definir en </w:t>
      </w:r>
      <w:r>
        <w:rPr>
          <w:rFonts w:ascii="Arial" w:eastAsia="Arial" w:hAnsi="Arial" w:cs="Arial"/>
          <w:sz w:val="24"/>
          <w:szCs w:val="24"/>
        </w:rPr>
        <w:t>qué</w:t>
      </w:r>
      <w:r>
        <w:rPr>
          <w:rFonts w:ascii="Arial" w:eastAsia="Arial" w:hAnsi="Arial" w:cs="Arial"/>
          <w:color w:val="000000"/>
          <w:sz w:val="24"/>
          <w:szCs w:val="24"/>
        </w:rPr>
        <w:t xml:space="preserve"> sector está fallando la gestión de la salud clasificando las barreras (obstáculos que se presentan en el acceso a la salud) en dos categorías: </w:t>
      </w:r>
    </w:p>
    <w:p w14:paraId="4C771333"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Barreras Organizacionales: Fallas en los procesos administrativos (como horarios restringidos, la falta de insumos necesarios y la burocracia del sistema de turnos)</w:t>
      </w:r>
    </w:p>
    <w:p w14:paraId="0F287089"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Barreras simbólicas: Fallas en la cultura organizacional (discriminación, falta de competencia técnica del personal) que actuaran como factores invisibles que expulsan a la comunidad del centro de atención. </w:t>
      </w:r>
    </w:p>
    <w:p w14:paraId="1D71E58E"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color w:val="000000"/>
          <w:sz w:val="24"/>
          <w:szCs w:val="24"/>
        </w:rPr>
        <w:t xml:space="preserve">Además, </w:t>
      </w:r>
      <w:r>
        <w:rPr>
          <w:rFonts w:ascii="Arial" w:eastAsia="Arial" w:hAnsi="Arial" w:cs="Arial"/>
          <w:sz w:val="24"/>
          <w:szCs w:val="24"/>
        </w:rPr>
        <w:t>Bermúdez-Pozuelo et al. (2024) desarrolla que “Las principales barreras en el ámbito asistencial a las que se enfrenta el colectivo trans son la falta de capacitación sobre sus necesidades específicas por parte del personal médico y las microagresiones y sus experiencias negativas en entornos sanitarios” (p. 254)</w:t>
      </w:r>
    </w:p>
    <w:p w14:paraId="35802B63" w14:textId="77777777" w:rsidR="002232E6" w:rsidRDefault="002232E6" w:rsidP="00D8002E">
      <w:pPr>
        <w:spacing w:line="360" w:lineRule="auto"/>
        <w:jc w:val="both"/>
        <w:rPr>
          <w:rFonts w:ascii="Arial" w:eastAsia="Arial" w:hAnsi="Arial" w:cs="Arial"/>
          <w:b/>
          <w:bCs/>
          <w:color w:val="EE0000"/>
          <w:sz w:val="24"/>
          <w:szCs w:val="24"/>
        </w:rPr>
      </w:pPr>
    </w:p>
    <w:p w14:paraId="110D54A7" w14:textId="77777777" w:rsidR="002232E6" w:rsidRDefault="002232E6" w:rsidP="00D8002E">
      <w:pPr>
        <w:pBdr>
          <w:top w:val="nil"/>
          <w:left w:val="nil"/>
          <w:bottom w:val="nil"/>
          <w:right w:val="nil"/>
          <w:between w:val="nil"/>
        </w:pBdr>
        <w:spacing w:after="0" w:line="360" w:lineRule="auto"/>
        <w:jc w:val="both"/>
        <w:rPr>
          <w:rFonts w:ascii="Arial" w:eastAsia="Arial" w:hAnsi="Arial" w:cs="Arial"/>
          <w:color w:val="000000"/>
          <w:sz w:val="24"/>
          <w:szCs w:val="24"/>
        </w:rPr>
      </w:pPr>
    </w:p>
    <w:p w14:paraId="47753C6C" w14:textId="77777777" w:rsidR="002232E6" w:rsidRDefault="002232E6" w:rsidP="00D8002E">
      <w:pPr>
        <w:pBdr>
          <w:top w:val="nil"/>
          <w:left w:val="nil"/>
          <w:bottom w:val="nil"/>
          <w:right w:val="nil"/>
          <w:between w:val="nil"/>
        </w:pBdr>
        <w:spacing w:after="0" w:line="360" w:lineRule="auto"/>
        <w:jc w:val="both"/>
        <w:rPr>
          <w:rFonts w:ascii="Arial" w:eastAsia="Arial" w:hAnsi="Arial" w:cs="Arial"/>
          <w:color w:val="000000"/>
          <w:sz w:val="24"/>
          <w:szCs w:val="24"/>
        </w:rPr>
      </w:pPr>
    </w:p>
    <w:p w14:paraId="779BC616" w14:textId="77777777" w:rsidR="002232E6" w:rsidRDefault="002232E6">
      <w:pPr>
        <w:pBdr>
          <w:top w:val="nil"/>
          <w:left w:val="nil"/>
          <w:bottom w:val="nil"/>
          <w:right w:val="nil"/>
          <w:between w:val="nil"/>
        </w:pBdr>
        <w:spacing w:after="0" w:line="360" w:lineRule="auto"/>
        <w:rPr>
          <w:rFonts w:ascii="Arial" w:eastAsia="Arial" w:hAnsi="Arial" w:cs="Arial"/>
          <w:color w:val="000000"/>
          <w:sz w:val="24"/>
          <w:szCs w:val="24"/>
        </w:rPr>
      </w:pPr>
    </w:p>
    <w:p w14:paraId="2E0B2571" w14:textId="77777777" w:rsidR="002232E6" w:rsidRDefault="002232E6">
      <w:pPr>
        <w:pBdr>
          <w:top w:val="nil"/>
          <w:left w:val="nil"/>
          <w:bottom w:val="nil"/>
          <w:right w:val="nil"/>
          <w:between w:val="nil"/>
        </w:pBdr>
        <w:spacing w:after="0" w:line="360" w:lineRule="auto"/>
        <w:rPr>
          <w:rFonts w:ascii="Arial" w:eastAsia="Arial" w:hAnsi="Arial" w:cs="Arial"/>
          <w:color w:val="000000"/>
          <w:sz w:val="24"/>
          <w:szCs w:val="24"/>
        </w:rPr>
      </w:pPr>
    </w:p>
    <w:p w14:paraId="7CA825CE" w14:textId="77777777" w:rsidR="002232E6" w:rsidRDefault="002232E6">
      <w:pPr>
        <w:pBdr>
          <w:top w:val="nil"/>
          <w:left w:val="nil"/>
          <w:bottom w:val="nil"/>
          <w:right w:val="nil"/>
          <w:between w:val="nil"/>
        </w:pBdr>
        <w:spacing w:after="0" w:line="360" w:lineRule="auto"/>
        <w:rPr>
          <w:rFonts w:ascii="Arial" w:eastAsia="Arial" w:hAnsi="Arial" w:cs="Arial"/>
          <w:color w:val="000000"/>
          <w:sz w:val="24"/>
          <w:szCs w:val="24"/>
        </w:rPr>
      </w:pPr>
    </w:p>
    <w:p w14:paraId="59BF5428" w14:textId="77777777" w:rsidR="002232E6" w:rsidRDefault="002232E6">
      <w:pPr>
        <w:pBdr>
          <w:top w:val="nil"/>
          <w:left w:val="nil"/>
          <w:bottom w:val="nil"/>
          <w:right w:val="nil"/>
          <w:between w:val="nil"/>
        </w:pBdr>
        <w:spacing w:after="0" w:line="360" w:lineRule="auto"/>
        <w:rPr>
          <w:rFonts w:ascii="Arial" w:eastAsia="Arial" w:hAnsi="Arial" w:cs="Arial"/>
          <w:color w:val="000000"/>
          <w:sz w:val="24"/>
          <w:szCs w:val="24"/>
        </w:rPr>
      </w:pPr>
    </w:p>
    <w:p w14:paraId="1C0C7A58" w14:textId="77777777" w:rsidR="002232E6" w:rsidRDefault="002232E6">
      <w:pPr>
        <w:pBdr>
          <w:top w:val="nil"/>
          <w:left w:val="nil"/>
          <w:bottom w:val="nil"/>
          <w:right w:val="nil"/>
          <w:between w:val="nil"/>
        </w:pBdr>
        <w:spacing w:after="0" w:line="360" w:lineRule="auto"/>
        <w:rPr>
          <w:rFonts w:ascii="Arial" w:eastAsia="Arial" w:hAnsi="Arial" w:cs="Arial"/>
          <w:color w:val="000000"/>
          <w:sz w:val="24"/>
          <w:szCs w:val="24"/>
        </w:rPr>
      </w:pPr>
    </w:p>
    <w:p w14:paraId="25BE4675" w14:textId="77777777" w:rsidR="002232E6" w:rsidRDefault="002232E6">
      <w:pPr>
        <w:pBdr>
          <w:top w:val="nil"/>
          <w:left w:val="nil"/>
          <w:bottom w:val="nil"/>
          <w:right w:val="nil"/>
          <w:between w:val="nil"/>
        </w:pBdr>
        <w:spacing w:after="0" w:line="360" w:lineRule="auto"/>
        <w:jc w:val="center"/>
        <w:rPr>
          <w:rFonts w:ascii="Arial" w:eastAsia="Arial" w:hAnsi="Arial" w:cs="Arial"/>
          <w:b/>
          <w:bCs/>
          <w:color w:val="000000"/>
          <w:sz w:val="40"/>
          <w:szCs w:val="40"/>
          <w:u w:val="single"/>
        </w:rPr>
      </w:pPr>
    </w:p>
    <w:p w14:paraId="0FA1AABB" w14:textId="77777777" w:rsidR="002232E6" w:rsidRDefault="002232E6">
      <w:pPr>
        <w:pBdr>
          <w:top w:val="nil"/>
          <w:left w:val="nil"/>
          <w:bottom w:val="nil"/>
          <w:right w:val="nil"/>
          <w:between w:val="nil"/>
        </w:pBdr>
        <w:spacing w:after="0" w:line="360" w:lineRule="auto"/>
        <w:jc w:val="center"/>
        <w:rPr>
          <w:rFonts w:ascii="Arial" w:eastAsia="Arial" w:hAnsi="Arial" w:cs="Arial"/>
          <w:b/>
          <w:bCs/>
          <w:color w:val="000000"/>
          <w:sz w:val="40"/>
          <w:szCs w:val="40"/>
          <w:u w:val="single"/>
        </w:rPr>
      </w:pPr>
    </w:p>
    <w:p w14:paraId="481F9290" w14:textId="77777777" w:rsidR="002232E6" w:rsidRDefault="002232E6">
      <w:pPr>
        <w:pStyle w:val="Title"/>
        <w:spacing w:after="0"/>
        <w:rPr>
          <w:color w:val="000000"/>
        </w:rPr>
      </w:pPr>
      <w:bookmarkStart w:id="10" w:name="_heading=h.g3pz9dgqus01" w:colFirst="0" w:colLast="0"/>
      <w:bookmarkEnd w:id="10"/>
    </w:p>
    <w:p w14:paraId="7E4674DA" w14:textId="77777777" w:rsidR="002232E6" w:rsidRPr="00D8002E" w:rsidRDefault="00501254" w:rsidP="00D8002E">
      <w:pPr>
        <w:pStyle w:val="Heading1"/>
        <w:spacing w:after="0"/>
        <w:jc w:val="left"/>
        <w:rPr>
          <w:u w:val="none"/>
        </w:rPr>
      </w:pPr>
      <w:bookmarkStart w:id="11" w:name="_heading=h.9s4pvmudjv44" w:colFirst="0" w:colLast="0"/>
      <w:bookmarkEnd w:id="11"/>
      <w:r w:rsidRPr="00D8002E">
        <w:rPr>
          <w:u w:val="none"/>
        </w:rPr>
        <w:lastRenderedPageBreak/>
        <w:t>Desarrollo Metodológico:</w:t>
      </w:r>
    </w:p>
    <w:p w14:paraId="6FFDC787" w14:textId="77777777" w:rsidR="002232E6" w:rsidRDefault="002232E6">
      <w:pPr>
        <w:pBdr>
          <w:top w:val="nil"/>
          <w:left w:val="nil"/>
          <w:bottom w:val="nil"/>
          <w:right w:val="nil"/>
          <w:between w:val="nil"/>
        </w:pBdr>
        <w:spacing w:after="0" w:line="360" w:lineRule="auto"/>
        <w:rPr>
          <w:rFonts w:ascii="Arial" w:eastAsia="Arial" w:hAnsi="Arial" w:cs="Arial"/>
          <w:b/>
          <w:bCs/>
          <w:color w:val="000000"/>
          <w:sz w:val="32"/>
          <w:szCs w:val="32"/>
          <w:u w:val="single"/>
        </w:rPr>
      </w:pPr>
    </w:p>
    <w:p w14:paraId="75DC7B74" w14:textId="77777777" w:rsidR="002232E6" w:rsidRPr="00D8002E" w:rsidRDefault="00501254" w:rsidP="00D8002E">
      <w:pPr>
        <w:pStyle w:val="Heading2"/>
        <w:spacing w:after="0"/>
        <w:rPr>
          <w:u w:val="none"/>
        </w:rPr>
      </w:pPr>
      <w:bookmarkStart w:id="12" w:name="_heading=h.i30sog283z59" w:colFirst="0" w:colLast="0"/>
      <w:bookmarkEnd w:id="12"/>
      <w:r w:rsidRPr="00D8002E">
        <w:rPr>
          <w:u w:val="none"/>
        </w:rPr>
        <w:t>Tipo de investigación:</w:t>
      </w:r>
    </w:p>
    <w:p w14:paraId="26790342" w14:textId="77777777" w:rsidR="002232E6" w:rsidRDefault="00501254" w:rsidP="00D8002E">
      <w:pPr>
        <w:pBdr>
          <w:top w:val="nil"/>
          <w:left w:val="nil"/>
          <w:bottom w:val="nil"/>
          <w:right w:val="nil"/>
          <w:between w:val="nil"/>
        </w:pBd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investigación </w:t>
      </w:r>
      <w:r>
        <w:rPr>
          <w:rFonts w:ascii="Arial" w:eastAsia="Arial" w:hAnsi="Arial" w:cs="Arial"/>
          <w:sz w:val="24"/>
          <w:szCs w:val="24"/>
        </w:rPr>
        <w:t>tomará</w:t>
      </w:r>
      <w:r>
        <w:rPr>
          <w:rFonts w:ascii="Arial" w:eastAsia="Arial" w:hAnsi="Arial" w:cs="Arial"/>
          <w:color w:val="000000"/>
          <w:sz w:val="24"/>
          <w:szCs w:val="24"/>
        </w:rPr>
        <w:t xml:space="preserve"> un enfoque cualitativo con un formato descriptivo y explicativo. Lo que se </w:t>
      </w:r>
      <w:r>
        <w:rPr>
          <w:rFonts w:ascii="Arial" w:eastAsia="Arial" w:hAnsi="Arial" w:cs="Arial"/>
          <w:sz w:val="24"/>
          <w:szCs w:val="24"/>
        </w:rPr>
        <w:t>buscará</w:t>
      </w:r>
      <w:r>
        <w:rPr>
          <w:rFonts w:ascii="Arial" w:eastAsia="Arial" w:hAnsi="Arial" w:cs="Arial"/>
          <w:color w:val="000000"/>
          <w:sz w:val="24"/>
          <w:szCs w:val="24"/>
        </w:rPr>
        <w:t xml:space="preserve"> es caracterizar al modelo de gestión de los Consultorios Inclusivos y explicar las fallas en la accesibilidad (como las barreras) a partir de un análisis de los procesos y normativas, pero sin el uso de variables numéricas. </w:t>
      </w:r>
    </w:p>
    <w:p w14:paraId="0B7EC708"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El diseño es no experimental, transversal y retrospectivo. El estudio </w:t>
      </w:r>
      <w:r>
        <w:rPr>
          <w:rFonts w:ascii="Arial" w:eastAsia="Arial" w:hAnsi="Arial" w:cs="Arial"/>
          <w:sz w:val="24"/>
          <w:szCs w:val="24"/>
        </w:rPr>
        <w:t>está</w:t>
      </w:r>
      <w:r>
        <w:rPr>
          <w:rFonts w:ascii="Arial" w:eastAsia="Arial" w:hAnsi="Arial" w:cs="Arial"/>
          <w:color w:val="000000"/>
          <w:sz w:val="24"/>
          <w:szCs w:val="24"/>
        </w:rPr>
        <w:t xml:space="preserve"> basado exclusivamente en fuentes secundarias situadas en un periodo del 2017 al 2025, tomando como punto de partida la descripción social de La Revolución de las Mariposas (2017) y terminando con informes de gestión </w:t>
      </w:r>
      <w:r>
        <w:rPr>
          <w:rFonts w:ascii="Arial" w:eastAsia="Arial" w:hAnsi="Arial" w:cs="Arial"/>
          <w:sz w:val="24"/>
          <w:szCs w:val="24"/>
        </w:rPr>
        <w:t>más</w:t>
      </w:r>
      <w:r>
        <w:rPr>
          <w:rFonts w:ascii="Arial" w:eastAsia="Arial" w:hAnsi="Arial" w:cs="Arial"/>
          <w:color w:val="000000"/>
          <w:sz w:val="24"/>
          <w:szCs w:val="24"/>
        </w:rPr>
        <w:t xml:space="preserve"> recientes y evidencia clínica actual sobre las demandas complejas que se presentan (</w:t>
      </w:r>
      <w:proofErr w:type="spellStart"/>
      <w:r>
        <w:rPr>
          <w:rFonts w:ascii="Arial" w:eastAsia="Arial" w:hAnsi="Arial" w:cs="Arial"/>
          <w:color w:val="000000"/>
          <w:sz w:val="24"/>
          <w:szCs w:val="24"/>
        </w:rPr>
        <w:t>Lupi</w:t>
      </w:r>
      <w:proofErr w:type="spellEnd"/>
      <w:r>
        <w:rPr>
          <w:rFonts w:ascii="Arial" w:eastAsia="Arial" w:hAnsi="Arial" w:cs="Arial"/>
          <w:color w:val="000000"/>
          <w:sz w:val="24"/>
          <w:szCs w:val="24"/>
        </w:rPr>
        <w:t xml:space="preserve"> et al., 2025)</w:t>
      </w:r>
    </w:p>
    <w:p w14:paraId="19A63F65"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Los </w:t>
      </w:r>
      <w:proofErr w:type="spellStart"/>
      <w:r>
        <w:rPr>
          <w:rFonts w:ascii="Arial" w:eastAsia="Arial" w:hAnsi="Arial" w:cs="Arial"/>
          <w:color w:val="000000"/>
          <w:sz w:val="24"/>
          <w:szCs w:val="24"/>
        </w:rPr>
        <w:t>papers</w:t>
      </w:r>
      <w:proofErr w:type="spellEnd"/>
      <w:r>
        <w:rPr>
          <w:rFonts w:ascii="Arial" w:eastAsia="Arial" w:hAnsi="Arial" w:cs="Arial"/>
          <w:color w:val="000000"/>
          <w:sz w:val="24"/>
          <w:szCs w:val="24"/>
        </w:rPr>
        <w:t xml:space="preserve"> analizados están conformados por documentos técnicos, normativos y académicos que fueron seleccionados por su desarrollo de la temática y la vigencia de la información. Los criterios de búsqueda fueron que los </w:t>
      </w:r>
      <w:proofErr w:type="spellStart"/>
      <w:r>
        <w:rPr>
          <w:rFonts w:ascii="Arial" w:eastAsia="Arial" w:hAnsi="Arial" w:cs="Arial"/>
          <w:color w:val="000000"/>
          <w:sz w:val="24"/>
          <w:szCs w:val="24"/>
        </w:rPr>
        <w:t>papers</w:t>
      </w:r>
      <w:proofErr w:type="spellEnd"/>
      <w:r>
        <w:rPr>
          <w:rFonts w:ascii="Arial" w:eastAsia="Arial" w:hAnsi="Arial" w:cs="Arial"/>
          <w:color w:val="000000"/>
          <w:sz w:val="24"/>
          <w:szCs w:val="24"/>
        </w:rPr>
        <w:t xml:space="preserve"> se liguen a la temática de la salud trans, con un enfoque en la gestión. </w:t>
      </w:r>
    </w:p>
    <w:p w14:paraId="19DAD618"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Se </w:t>
      </w:r>
      <w:r>
        <w:rPr>
          <w:rFonts w:ascii="Arial" w:eastAsia="Arial" w:hAnsi="Arial" w:cs="Arial"/>
          <w:sz w:val="24"/>
          <w:szCs w:val="24"/>
        </w:rPr>
        <w:t>utilizó</w:t>
      </w:r>
      <w:r>
        <w:rPr>
          <w:rFonts w:ascii="Arial" w:eastAsia="Arial" w:hAnsi="Arial" w:cs="Arial"/>
          <w:color w:val="000000"/>
          <w:sz w:val="24"/>
          <w:szCs w:val="24"/>
        </w:rPr>
        <w:t xml:space="preserve"> una técnica de revisión documental sistemática y la información fue procesada haciendo un análisis del contenido con el objetivo de encontrar información que responda a los objetivos de la investigación. </w:t>
      </w:r>
    </w:p>
    <w:p w14:paraId="7B54065F"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Finalmente, este análisis contrasto entre lo que exigía la norma, lo que era reportado por los análisis de gestión y lo que dejaba en evidencia las investigaciones académicas, que permitió identificar y caracterizar la brecha entre la implementación de este tipo de programas y la realidad vivida por la población. </w:t>
      </w:r>
    </w:p>
    <w:p w14:paraId="6185586E" w14:textId="77777777" w:rsidR="002232E6" w:rsidRDefault="002232E6" w:rsidP="00D8002E">
      <w:pPr>
        <w:spacing w:line="360" w:lineRule="auto"/>
        <w:jc w:val="both"/>
        <w:rPr>
          <w:rFonts w:ascii="Arial" w:eastAsia="Arial" w:hAnsi="Arial" w:cs="Arial"/>
          <w:b/>
          <w:bCs/>
          <w:color w:val="EE0000"/>
          <w:sz w:val="24"/>
          <w:szCs w:val="24"/>
        </w:rPr>
      </w:pPr>
    </w:p>
    <w:p w14:paraId="539E5FC8" w14:textId="77777777" w:rsidR="002232E6" w:rsidRDefault="002232E6" w:rsidP="00D8002E">
      <w:pPr>
        <w:spacing w:line="360" w:lineRule="auto"/>
        <w:jc w:val="both"/>
        <w:rPr>
          <w:rFonts w:ascii="Arial" w:eastAsia="Arial" w:hAnsi="Arial" w:cs="Arial"/>
          <w:b/>
          <w:bCs/>
          <w:sz w:val="24"/>
          <w:szCs w:val="24"/>
          <w:u w:val="single"/>
        </w:rPr>
      </w:pPr>
    </w:p>
    <w:p w14:paraId="7DCD641A" w14:textId="77777777" w:rsidR="002232E6" w:rsidRDefault="002232E6" w:rsidP="00D8002E">
      <w:pPr>
        <w:spacing w:line="360" w:lineRule="auto"/>
        <w:jc w:val="both"/>
        <w:rPr>
          <w:rFonts w:ascii="Arial" w:eastAsia="Arial" w:hAnsi="Arial" w:cs="Arial"/>
          <w:b/>
          <w:bCs/>
          <w:sz w:val="24"/>
          <w:szCs w:val="24"/>
          <w:u w:val="single"/>
        </w:rPr>
      </w:pPr>
    </w:p>
    <w:p w14:paraId="4B864197" w14:textId="77777777" w:rsidR="002232E6" w:rsidRDefault="002232E6">
      <w:pPr>
        <w:spacing w:line="360" w:lineRule="auto"/>
        <w:rPr>
          <w:rFonts w:ascii="Arial" w:eastAsia="Arial" w:hAnsi="Arial" w:cs="Arial"/>
          <w:b/>
          <w:bCs/>
          <w:sz w:val="24"/>
          <w:szCs w:val="24"/>
          <w:u w:val="single"/>
        </w:rPr>
      </w:pPr>
    </w:p>
    <w:p w14:paraId="788F1957" w14:textId="77777777" w:rsidR="002232E6" w:rsidRPr="00D8002E" w:rsidRDefault="00501254" w:rsidP="00D8002E">
      <w:pPr>
        <w:pStyle w:val="Heading1"/>
        <w:jc w:val="left"/>
        <w:rPr>
          <w:sz w:val="32"/>
          <w:szCs w:val="32"/>
          <w:u w:val="none"/>
        </w:rPr>
      </w:pPr>
      <w:bookmarkStart w:id="13" w:name="_heading=h.uaxcempes8wj" w:colFirst="0" w:colLast="0"/>
      <w:bookmarkEnd w:id="13"/>
      <w:r w:rsidRPr="00D8002E">
        <w:rPr>
          <w:u w:val="none"/>
        </w:rPr>
        <w:t>Resultados</w:t>
      </w:r>
      <w:r w:rsidRPr="00D8002E">
        <w:rPr>
          <w:sz w:val="32"/>
          <w:szCs w:val="32"/>
          <w:u w:val="none"/>
        </w:rPr>
        <w:t>:</w:t>
      </w:r>
    </w:p>
    <w:p w14:paraId="24CC167E" w14:textId="77777777" w:rsidR="002232E6" w:rsidRDefault="002232E6">
      <w:pPr>
        <w:spacing w:line="360" w:lineRule="auto"/>
        <w:rPr>
          <w:rFonts w:ascii="Arial" w:eastAsia="Arial" w:hAnsi="Arial" w:cs="Arial"/>
          <w:b/>
          <w:bCs/>
          <w:sz w:val="32"/>
          <w:szCs w:val="32"/>
          <w:u w:val="single"/>
        </w:rPr>
      </w:pPr>
    </w:p>
    <w:p w14:paraId="4487AB3A" w14:textId="77777777" w:rsidR="002232E6" w:rsidRPr="00D8002E" w:rsidRDefault="00501254" w:rsidP="00D8002E">
      <w:pPr>
        <w:pStyle w:val="Heading2"/>
        <w:rPr>
          <w:u w:val="none"/>
        </w:rPr>
      </w:pPr>
      <w:bookmarkStart w:id="14" w:name="_heading=h.ka9mbsur49ad" w:colFirst="0" w:colLast="0"/>
      <w:bookmarkEnd w:id="14"/>
      <w:r w:rsidRPr="00D8002E">
        <w:rPr>
          <w:u w:val="none"/>
        </w:rPr>
        <w:t>Análisis de la Evolución de la estrategia de gestión</w:t>
      </w:r>
    </w:p>
    <w:p w14:paraId="23C0A68A"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 xml:space="preserve">Empezando por un análisis y comparación de los Informes de Gestión de la Provincia de Buenos Aires se ve una maduración en la estrategia de política públicas que pasó de un enfoque puro de logística de abastecimiento a uno de división de responsabilidad y recursos disponibles. </w:t>
      </w:r>
    </w:p>
    <w:p w14:paraId="30C1C723"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 xml:space="preserve">El Informe de gestión de 2021 de la Dirección de Equidad de Género en salud, documenta una etapa fundamental que está caracterizada por la intervención directa desde el estado en la cadena de suministros importantes. Ante una barrera económica (representada por el alto costo de los suministros) la gestión de la PBA decidió implementar circuitos de compras centralizadas de </w:t>
      </w:r>
      <w:proofErr w:type="spellStart"/>
      <w:r>
        <w:rPr>
          <w:rFonts w:ascii="Arial" w:eastAsia="Arial" w:hAnsi="Arial" w:cs="Arial"/>
          <w:sz w:val="24"/>
          <w:szCs w:val="24"/>
        </w:rPr>
        <w:t>hormonización</w:t>
      </w:r>
      <w:proofErr w:type="spellEnd"/>
      <w:r>
        <w:rPr>
          <w:rFonts w:ascii="Arial" w:eastAsia="Arial" w:hAnsi="Arial" w:cs="Arial"/>
          <w:sz w:val="24"/>
          <w:szCs w:val="24"/>
        </w:rPr>
        <w:t>. Desde la gestión esta decisión impacto de dos formas clave:</w:t>
      </w:r>
    </w:p>
    <w:p w14:paraId="15015CBD" w14:textId="77777777" w:rsidR="002232E6" w:rsidRDefault="00501254" w:rsidP="00D8002E">
      <w:pPr>
        <w:numPr>
          <w:ilvl w:val="0"/>
          <w:numId w:val="1"/>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estandarización clínica, ya que al unificarse los vademécums provinciales se pudo asegurar que los Centros de Atención Inclusivos </w:t>
      </w:r>
      <w:r>
        <w:rPr>
          <w:rFonts w:ascii="Arial" w:eastAsia="Arial" w:hAnsi="Arial" w:cs="Arial"/>
          <w:sz w:val="24"/>
          <w:szCs w:val="24"/>
        </w:rPr>
        <w:t>contarán</w:t>
      </w:r>
      <w:r>
        <w:rPr>
          <w:rFonts w:ascii="Arial" w:eastAsia="Arial" w:hAnsi="Arial" w:cs="Arial"/>
          <w:color w:val="000000"/>
          <w:sz w:val="24"/>
          <w:szCs w:val="24"/>
        </w:rPr>
        <w:t xml:space="preserve"> con los mismos esquemas farmacológicos (bloqueadores y hormonas a utilizar) para que se reduzca la variabilidad clínica.</w:t>
      </w:r>
    </w:p>
    <w:p w14:paraId="704F7C06" w14:textId="77777777" w:rsidR="002232E6" w:rsidRDefault="00501254" w:rsidP="00D8002E">
      <w:pPr>
        <w:numPr>
          <w:ilvl w:val="0"/>
          <w:numId w:val="1"/>
        </w:numPr>
        <w:pBdr>
          <w:top w:val="nil"/>
          <w:left w:val="nil"/>
          <w:bottom w:val="nil"/>
          <w:right w:val="nil"/>
          <w:between w:val="nil"/>
        </w:pBd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Una reducción del Gasto para el usuario, ya que al poder empezar a garantizar stock de medicaciones necesarias el Estado </w:t>
      </w:r>
      <w:r>
        <w:rPr>
          <w:rFonts w:ascii="Arial" w:eastAsia="Arial" w:hAnsi="Arial" w:cs="Arial"/>
          <w:sz w:val="24"/>
          <w:szCs w:val="24"/>
        </w:rPr>
        <w:t>terminó</w:t>
      </w:r>
      <w:r>
        <w:rPr>
          <w:rFonts w:ascii="Arial" w:eastAsia="Arial" w:hAnsi="Arial" w:cs="Arial"/>
          <w:color w:val="000000"/>
          <w:sz w:val="24"/>
          <w:szCs w:val="24"/>
        </w:rPr>
        <w:t xml:space="preserve"> asumiendo un costo que previamente </w:t>
      </w:r>
      <w:proofErr w:type="spellStart"/>
      <w:r>
        <w:rPr>
          <w:rFonts w:ascii="Arial" w:eastAsia="Arial" w:hAnsi="Arial" w:cs="Arial"/>
          <w:sz w:val="24"/>
          <w:szCs w:val="24"/>
        </w:rPr>
        <w:t>recaia</w:t>
      </w:r>
      <w:proofErr w:type="spellEnd"/>
      <w:r>
        <w:rPr>
          <w:rFonts w:ascii="Arial" w:eastAsia="Arial" w:hAnsi="Arial" w:cs="Arial"/>
          <w:color w:val="000000"/>
          <w:sz w:val="24"/>
          <w:szCs w:val="24"/>
        </w:rPr>
        <w:t xml:space="preserve"> sobre cada usuario, cumpliendo el </w:t>
      </w:r>
      <w:r>
        <w:rPr>
          <w:rFonts w:ascii="Arial" w:eastAsia="Arial" w:hAnsi="Arial" w:cs="Arial"/>
          <w:sz w:val="24"/>
          <w:szCs w:val="24"/>
        </w:rPr>
        <w:t>artículo</w:t>
      </w:r>
      <w:r>
        <w:rPr>
          <w:rFonts w:ascii="Arial" w:eastAsia="Arial" w:hAnsi="Arial" w:cs="Arial"/>
          <w:color w:val="000000"/>
          <w:sz w:val="24"/>
          <w:szCs w:val="24"/>
        </w:rPr>
        <w:t xml:space="preserve"> 11 de la Ley 26.743</w:t>
      </w:r>
    </w:p>
    <w:p w14:paraId="3455E951"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 xml:space="preserve">Ya para el 2024 el Informe generado por el Ministerio de Mujeres y Diversidad reportó un cambio de paradigma gracias al lanzamiento del programa “Municipios por la Igualdad”. Esta estrategia de gestión se mueve de la centralización de la compra directa por la provincia dándole responsabilidad a cada municipio sobre los presupuestos. Este cambio radical lo que busca es darle autonomía a cada </w:t>
      </w:r>
      <w:r>
        <w:rPr>
          <w:rFonts w:ascii="Arial" w:eastAsia="Arial" w:hAnsi="Arial" w:cs="Arial"/>
          <w:sz w:val="24"/>
          <w:szCs w:val="24"/>
        </w:rPr>
        <w:lastRenderedPageBreak/>
        <w:t>municipio para que fortalezcan sus áreas de atención de género basándose en indicadores locales. Sin embargo, este tipo de estrategia tiene un riesgo de gestión grande ya que podrá llevar a la heterogeneidad de la oferta (que serán diferencias grandes en la calidad de atención dependiendo de qué centro te atiendas, aunque sean parte del mismo sistema). La calidad del servicio pasará a depender de qué servicios eran ofrecidos previamente en cada zona llevando también a un mapa prestacional asimétrico donde n</w:t>
      </w:r>
      <w:r>
        <w:rPr>
          <w:rFonts w:ascii="Arial" w:eastAsia="Arial" w:hAnsi="Arial" w:cs="Arial"/>
          <w:sz w:val="24"/>
          <w:szCs w:val="24"/>
        </w:rPr>
        <w:t>o todos los Consultorios Inclusivos (CI) ofrezcan la misma cartera de servicios (algunos tendrán una atención integral mientras otros funcionaran solo como dispensadores de medicación)</w:t>
      </w:r>
    </w:p>
    <w:p w14:paraId="5EE49B12" w14:textId="77777777" w:rsidR="002232E6" w:rsidRDefault="002232E6">
      <w:pPr>
        <w:spacing w:line="360" w:lineRule="auto"/>
        <w:rPr>
          <w:rFonts w:ascii="Arial" w:eastAsia="Arial" w:hAnsi="Arial" w:cs="Arial"/>
          <w:sz w:val="24"/>
          <w:szCs w:val="24"/>
        </w:rPr>
      </w:pPr>
    </w:p>
    <w:p w14:paraId="031DE8CB" w14:textId="77777777" w:rsidR="002232E6" w:rsidRPr="00D8002E" w:rsidRDefault="00501254" w:rsidP="00D8002E">
      <w:pPr>
        <w:pStyle w:val="Heading2"/>
        <w:rPr>
          <w:u w:val="none"/>
        </w:rPr>
      </w:pPr>
      <w:bookmarkStart w:id="15" w:name="_heading=h.g5ejqrvliihd" w:colFirst="0" w:colLast="0"/>
      <w:bookmarkEnd w:id="15"/>
      <w:r w:rsidRPr="00D8002E">
        <w:rPr>
          <w:u w:val="none"/>
        </w:rPr>
        <w:t>Efectividad de la estrategia en el contexto de la accesibilidad</w:t>
      </w:r>
    </w:p>
    <w:p w14:paraId="2D7872C3"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 xml:space="preserve">Al analizar la eficacia de los Consultorios Inclusivos para mitigar las barreras de acceso las entrevistas de </w:t>
      </w:r>
      <w:proofErr w:type="spellStart"/>
      <w:r>
        <w:rPr>
          <w:rFonts w:ascii="Arial" w:eastAsia="Arial" w:hAnsi="Arial" w:cs="Arial"/>
          <w:sz w:val="24"/>
          <w:szCs w:val="24"/>
        </w:rPr>
        <w:t>Vissicchio</w:t>
      </w:r>
      <w:proofErr w:type="spellEnd"/>
      <w:r>
        <w:rPr>
          <w:rFonts w:ascii="Arial" w:eastAsia="Arial" w:hAnsi="Arial" w:cs="Arial"/>
          <w:sz w:val="24"/>
          <w:szCs w:val="24"/>
        </w:rPr>
        <w:t xml:space="preserve"> et al. (2023) dejan en claro que el modelo ha sido exitoso en crear espacios seguros. </w:t>
      </w:r>
    </w:p>
    <w:p w14:paraId="00D77378" w14:textId="77777777" w:rsidR="002232E6" w:rsidRDefault="00501254" w:rsidP="00D8002E">
      <w:pPr>
        <w:spacing w:line="360" w:lineRule="auto"/>
        <w:jc w:val="both"/>
        <w:rPr>
          <w:rFonts w:ascii="Arial" w:eastAsia="Arial" w:hAnsi="Arial" w:cs="Arial"/>
          <w:sz w:val="24"/>
          <w:szCs w:val="24"/>
        </w:rPr>
      </w:pPr>
      <w:r>
        <w:rPr>
          <w:rFonts w:ascii="Arial" w:eastAsia="Arial" w:hAnsi="Arial" w:cs="Arial"/>
          <w:sz w:val="24"/>
          <w:szCs w:val="24"/>
        </w:rPr>
        <w:t>Primero, los resultados indican que los CI funcionan de forma eficaz como una “burbuja” de protección frente a la hostilidad del sistema en general. Dentro de la planta física del consultorio, los indicadores de calidad del trato reflejan esto:</w:t>
      </w:r>
    </w:p>
    <w:p w14:paraId="647577CA" w14:textId="77777777" w:rsidR="002232E6" w:rsidRDefault="00501254" w:rsidP="00D8002E">
      <w:pPr>
        <w:numPr>
          <w:ilvl w:val="0"/>
          <w:numId w:val="2"/>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Se encuentra una adhesión fuerte al </w:t>
      </w:r>
      <w:r>
        <w:rPr>
          <w:rFonts w:ascii="Arial" w:eastAsia="Arial" w:hAnsi="Arial" w:cs="Arial"/>
          <w:sz w:val="24"/>
          <w:szCs w:val="24"/>
        </w:rPr>
        <w:t>Artículo</w:t>
      </w:r>
      <w:r>
        <w:rPr>
          <w:rFonts w:ascii="Arial" w:eastAsia="Arial" w:hAnsi="Arial" w:cs="Arial"/>
          <w:color w:val="000000"/>
          <w:sz w:val="24"/>
          <w:szCs w:val="24"/>
        </w:rPr>
        <w:t xml:space="preserve"> 12 de la Ley de Identidad de </w:t>
      </w:r>
      <w:r>
        <w:rPr>
          <w:rFonts w:ascii="Arial" w:eastAsia="Arial" w:hAnsi="Arial" w:cs="Arial"/>
          <w:sz w:val="24"/>
          <w:szCs w:val="24"/>
        </w:rPr>
        <w:t>género</w:t>
      </w:r>
      <w:r>
        <w:rPr>
          <w:rFonts w:ascii="Arial" w:eastAsia="Arial" w:hAnsi="Arial" w:cs="Arial"/>
          <w:color w:val="000000"/>
          <w:sz w:val="24"/>
          <w:szCs w:val="24"/>
        </w:rPr>
        <w:t xml:space="preserve"> por parte de los profesionales tratantes. El uso correcto del nombre social (aunque no coincida con el DNI) y los pronombres auto percibidos son identificados como un factor principal de adherencia al tratamiento </w:t>
      </w:r>
    </w:p>
    <w:p w14:paraId="09817F3E" w14:textId="77777777" w:rsidR="002232E6" w:rsidRDefault="00501254" w:rsidP="00D8002E">
      <w:pPr>
        <w:numPr>
          <w:ilvl w:val="0"/>
          <w:numId w:val="2"/>
        </w:numPr>
        <w:pBdr>
          <w:top w:val="nil"/>
          <w:left w:val="nil"/>
          <w:bottom w:val="nil"/>
          <w:right w:val="nil"/>
          <w:between w:val="nil"/>
        </w:pBd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A esto se suma que gracias a que los profesionales están formados con inclusión en la mente en estos espacios se ha logrado una alta motivación por ir a atenderse desde la comunidad trans logrando que pierdan esa desconfianza histórica que tienen hacia el sistema de salud. </w:t>
      </w:r>
    </w:p>
    <w:p w14:paraId="47FB19F5"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Segundo, desde un punto de vista de gestión de la demanda de la salud, los CI han sido herramientas esenciales para la captación y </w:t>
      </w:r>
      <w:proofErr w:type="spellStart"/>
      <w:r>
        <w:rPr>
          <w:rFonts w:ascii="Arial" w:eastAsia="Arial" w:hAnsi="Arial" w:cs="Arial"/>
          <w:color w:val="000000"/>
          <w:sz w:val="24"/>
          <w:szCs w:val="24"/>
        </w:rPr>
        <w:t>revinculación</w:t>
      </w:r>
      <w:proofErr w:type="spellEnd"/>
      <w:r>
        <w:rPr>
          <w:rFonts w:ascii="Arial" w:eastAsia="Arial" w:hAnsi="Arial" w:cs="Arial"/>
          <w:color w:val="000000"/>
          <w:sz w:val="24"/>
          <w:szCs w:val="24"/>
        </w:rPr>
        <w:t xml:space="preserve"> ya que han logrado atraer al sistema de salud a una población que llevaba años o décadas sin realizarse ningún tipo de control médico básico (clínico, odontológico, cardiológico, etc.) por </w:t>
      </w:r>
      <w:r>
        <w:rPr>
          <w:rFonts w:ascii="Arial" w:eastAsia="Arial" w:hAnsi="Arial" w:cs="Arial"/>
          <w:color w:val="000000"/>
          <w:sz w:val="24"/>
          <w:szCs w:val="24"/>
        </w:rPr>
        <w:lastRenderedPageBreak/>
        <w:t xml:space="preserve">miedo a sufrir discriminación por parte de los profesionales. Desde esta perspectiva esta estrategia de acción afirmativa ha funcionado en generar una puerta de entrada al sistema de salud. </w:t>
      </w:r>
    </w:p>
    <w:p w14:paraId="071F9AD5" w14:textId="77777777" w:rsidR="002232E6" w:rsidRDefault="002232E6">
      <w:pPr>
        <w:spacing w:line="360" w:lineRule="auto"/>
        <w:rPr>
          <w:rFonts w:ascii="Arial" w:eastAsia="Arial" w:hAnsi="Arial" w:cs="Arial"/>
          <w:color w:val="EE0000"/>
          <w:sz w:val="24"/>
          <w:szCs w:val="24"/>
          <w:u w:val="single"/>
        </w:rPr>
      </w:pPr>
    </w:p>
    <w:p w14:paraId="62839426" w14:textId="77777777" w:rsidR="002232E6" w:rsidRPr="00D8002E" w:rsidRDefault="00501254" w:rsidP="00D8002E">
      <w:pPr>
        <w:pStyle w:val="Heading2"/>
        <w:rPr>
          <w:u w:val="none"/>
        </w:rPr>
      </w:pPr>
      <w:bookmarkStart w:id="16" w:name="_heading=h.lpqs7732ci0h" w:colFirst="0" w:colLast="0"/>
      <w:bookmarkEnd w:id="16"/>
      <w:r w:rsidRPr="00D8002E">
        <w:rPr>
          <w:u w:val="none"/>
        </w:rPr>
        <w:t>Análisis de la Sostenibilidad a futuro:</w:t>
      </w:r>
    </w:p>
    <w:p w14:paraId="6CD76D8A"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Haciendo un análisis de los procesos internos utilizados para la operatividad diaria de los Consultorios Inclusivos queda en evidencia una debilidad alarmante remarcada por </w:t>
      </w:r>
      <w:proofErr w:type="spellStart"/>
      <w:r>
        <w:rPr>
          <w:rFonts w:ascii="Arial" w:eastAsia="Arial" w:hAnsi="Arial" w:cs="Arial"/>
          <w:color w:val="000000"/>
          <w:sz w:val="24"/>
          <w:szCs w:val="24"/>
        </w:rPr>
        <w:t>Darouiche</w:t>
      </w:r>
      <w:proofErr w:type="spellEnd"/>
      <w:r>
        <w:rPr>
          <w:rFonts w:ascii="Arial" w:eastAsia="Arial" w:hAnsi="Arial" w:cs="Arial"/>
          <w:color w:val="000000"/>
          <w:sz w:val="24"/>
          <w:szCs w:val="24"/>
        </w:rPr>
        <w:t xml:space="preserve"> et al. (2025): hay una falta de institucionalización. </w:t>
      </w:r>
    </w:p>
    <w:p w14:paraId="1F922B04"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Desde la teoría de la administración, un servicio de salud debería funcionar en base a procesos estandarizados (guías de práctica clínicas, estándares internacionales). Pero, en el caso de los Consultorios Inclusivos el análisis de los </w:t>
      </w:r>
      <w:proofErr w:type="spellStart"/>
      <w:r>
        <w:rPr>
          <w:rFonts w:ascii="Arial" w:eastAsia="Arial" w:hAnsi="Arial" w:cs="Arial"/>
          <w:color w:val="000000"/>
          <w:sz w:val="24"/>
          <w:szCs w:val="24"/>
        </w:rPr>
        <w:t>papers</w:t>
      </w:r>
      <w:proofErr w:type="spellEnd"/>
      <w:r>
        <w:rPr>
          <w:rFonts w:ascii="Arial" w:eastAsia="Arial" w:hAnsi="Arial" w:cs="Arial"/>
          <w:color w:val="000000"/>
          <w:sz w:val="24"/>
          <w:szCs w:val="24"/>
        </w:rPr>
        <w:t xml:space="preserve"> indica que estos operan bajo una lógica de gestión ad-hoc. Esto significa que los profesionales de salud (médicos, enfermeras, etc.) asumen tareas fuera de su rol para lo que fueron contratados, actuando según </w:t>
      </w:r>
      <w:proofErr w:type="spellStart"/>
      <w:r>
        <w:rPr>
          <w:rFonts w:ascii="Arial" w:eastAsia="Arial" w:hAnsi="Arial" w:cs="Arial"/>
          <w:color w:val="000000"/>
          <w:sz w:val="24"/>
          <w:szCs w:val="24"/>
        </w:rPr>
        <w:t>Darouiche</w:t>
      </w:r>
      <w:proofErr w:type="spellEnd"/>
      <w:r>
        <w:rPr>
          <w:rFonts w:ascii="Arial" w:eastAsia="Arial" w:hAnsi="Arial" w:cs="Arial"/>
          <w:color w:val="000000"/>
          <w:sz w:val="24"/>
          <w:szCs w:val="24"/>
        </w:rPr>
        <w:t xml:space="preserve"> et al. (2025) como “mediadores burocráticos” con el fin de poder </w:t>
      </w:r>
      <w:r>
        <w:rPr>
          <w:rFonts w:ascii="Arial" w:eastAsia="Arial" w:hAnsi="Arial" w:cs="Arial"/>
          <w:sz w:val="24"/>
          <w:szCs w:val="24"/>
        </w:rPr>
        <w:t>garantizar a</w:t>
      </w:r>
      <w:r>
        <w:rPr>
          <w:rFonts w:ascii="Arial" w:eastAsia="Arial" w:hAnsi="Arial" w:cs="Arial"/>
          <w:color w:val="000000"/>
          <w:sz w:val="24"/>
          <w:szCs w:val="24"/>
        </w:rPr>
        <w:t xml:space="preserve"> un paciente el acceso a su derecho de atención (desde un turno con un especialista hasta conseguirle lugar para las cirugías). Para poder lograr esto los profesionales deberán “pelearse” con canales oficiale</w:t>
      </w:r>
      <w:r>
        <w:rPr>
          <w:rFonts w:ascii="Arial" w:eastAsia="Arial" w:hAnsi="Arial" w:cs="Arial"/>
          <w:color w:val="000000"/>
          <w:sz w:val="24"/>
          <w:szCs w:val="24"/>
        </w:rPr>
        <w:t>s que están bloqueados (como agendas de turnos cerradas), utilizar redes de contactos personales (</w:t>
      </w:r>
      <w:proofErr w:type="spellStart"/>
      <w:r>
        <w:rPr>
          <w:rFonts w:ascii="Arial" w:eastAsia="Arial" w:hAnsi="Arial" w:cs="Arial"/>
          <w:color w:val="000000"/>
          <w:sz w:val="24"/>
          <w:szCs w:val="24"/>
        </w:rPr>
        <w:t>Whatsapp</w:t>
      </w:r>
      <w:proofErr w:type="spellEnd"/>
      <w:r>
        <w:rPr>
          <w:rFonts w:ascii="Arial" w:eastAsia="Arial" w:hAnsi="Arial" w:cs="Arial"/>
          <w:color w:val="000000"/>
          <w:sz w:val="24"/>
          <w:szCs w:val="24"/>
        </w:rPr>
        <w:t xml:space="preserve">, llamadas informales) utilizando amistades para conseguir lo que necesitan y realizar intercambios de insumo “por debajo de la mesa” con otros centros de atención para poder evitar faltas de stock de medicamentos necesarios. </w:t>
      </w:r>
    </w:p>
    <w:p w14:paraId="4588F0E0"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Entonces todo esto en conjunto revela que este modelo de atención en vez de ser dependiente del estado/gobierno en realidad </w:t>
      </w:r>
      <w:r>
        <w:rPr>
          <w:rFonts w:ascii="Arial" w:eastAsia="Arial" w:hAnsi="Arial" w:cs="Arial"/>
          <w:sz w:val="24"/>
          <w:szCs w:val="24"/>
        </w:rPr>
        <w:t>está</w:t>
      </w:r>
      <w:r>
        <w:rPr>
          <w:rFonts w:ascii="Arial" w:eastAsia="Arial" w:hAnsi="Arial" w:cs="Arial"/>
          <w:color w:val="000000"/>
          <w:sz w:val="24"/>
          <w:szCs w:val="24"/>
        </w:rPr>
        <w:t xml:space="preserve"> dependiendo de la voluntad de individuos. Esto </w:t>
      </w:r>
      <w:r>
        <w:rPr>
          <w:rFonts w:ascii="Arial" w:eastAsia="Arial" w:hAnsi="Arial" w:cs="Arial"/>
          <w:sz w:val="24"/>
          <w:szCs w:val="24"/>
        </w:rPr>
        <w:t>llevará</w:t>
      </w:r>
      <w:r>
        <w:rPr>
          <w:rFonts w:ascii="Arial" w:eastAsia="Arial" w:hAnsi="Arial" w:cs="Arial"/>
          <w:color w:val="000000"/>
          <w:sz w:val="24"/>
          <w:szCs w:val="24"/>
        </w:rPr>
        <w:t xml:space="preserve"> a que se genere un riesgo de que se colapse este </w:t>
      </w:r>
      <w:proofErr w:type="gramStart"/>
      <w:r>
        <w:rPr>
          <w:rFonts w:ascii="Arial" w:eastAsia="Arial" w:hAnsi="Arial" w:cs="Arial"/>
          <w:color w:val="000000"/>
          <w:sz w:val="24"/>
          <w:szCs w:val="24"/>
        </w:rPr>
        <w:t>sistema</w:t>
      </w:r>
      <w:proofErr w:type="gramEnd"/>
      <w:r>
        <w:rPr>
          <w:rFonts w:ascii="Arial" w:eastAsia="Arial" w:hAnsi="Arial" w:cs="Arial"/>
          <w:color w:val="000000"/>
          <w:sz w:val="24"/>
          <w:szCs w:val="24"/>
        </w:rPr>
        <w:t xml:space="preserve"> pero impactando también:  </w:t>
      </w:r>
    </w:p>
    <w:p w14:paraId="318D9299" w14:textId="77777777" w:rsidR="002232E6" w:rsidRDefault="00501254" w:rsidP="00D8002E">
      <w:pPr>
        <w:numPr>
          <w:ilvl w:val="0"/>
          <w:numId w:val="3"/>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En el personal, este tipo de dinámica (que un centro de atención tan importante recaiga en una persona) </w:t>
      </w:r>
      <w:r>
        <w:rPr>
          <w:rFonts w:ascii="Arial" w:eastAsia="Arial" w:hAnsi="Arial" w:cs="Arial"/>
          <w:sz w:val="24"/>
          <w:szCs w:val="24"/>
        </w:rPr>
        <w:t>llevará</w:t>
      </w:r>
      <w:r>
        <w:rPr>
          <w:rFonts w:ascii="Arial" w:eastAsia="Arial" w:hAnsi="Arial" w:cs="Arial"/>
          <w:color w:val="000000"/>
          <w:sz w:val="24"/>
          <w:szCs w:val="24"/>
        </w:rPr>
        <w:t xml:space="preserve"> a nivel individual a una </w:t>
      </w:r>
      <w:r>
        <w:rPr>
          <w:rFonts w:ascii="Arial" w:eastAsia="Arial" w:hAnsi="Arial" w:cs="Arial"/>
          <w:color w:val="000000"/>
          <w:sz w:val="24"/>
          <w:szCs w:val="24"/>
        </w:rPr>
        <w:lastRenderedPageBreak/>
        <w:t xml:space="preserve">sobrecarga laboral y un alto riesgo de burnout en los profesionales ya que sienten una obligación ética y moral de suplir las fallas del Estado. </w:t>
      </w:r>
    </w:p>
    <w:p w14:paraId="1F3DCD87" w14:textId="77777777" w:rsidR="002232E6" w:rsidRDefault="00501254" w:rsidP="00D8002E">
      <w:pPr>
        <w:numPr>
          <w:ilvl w:val="0"/>
          <w:numId w:val="3"/>
        </w:numPr>
        <w:pBdr>
          <w:top w:val="nil"/>
          <w:left w:val="nil"/>
          <w:bottom w:val="nil"/>
          <w:right w:val="nil"/>
          <w:between w:val="nil"/>
        </w:pBd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En la continuidad de tratamiento, ya que, si el profesional que se están encargando de todo esto renuncia, se jubila o se toma una licencia esta red de atención se desmorona casi instantáneamente porque el acceso por parte del paciente dependía de este vínculo personal con el profesional y no de una institución estatal. </w:t>
      </w:r>
    </w:p>
    <w:p w14:paraId="210274A2" w14:textId="77777777" w:rsidR="002232E6" w:rsidRPr="00D8002E" w:rsidRDefault="00501254" w:rsidP="00D8002E">
      <w:pPr>
        <w:pStyle w:val="Heading2"/>
        <w:rPr>
          <w:u w:val="none"/>
        </w:rPr>
      </w:pPr>
      <w:bookmarkStart w:id="17" w:name="_heading=h.47rgf06vaqg1" w:colFirst="0" w:colLast="0"/>
      <w:bookmarkEnd w:id="17"/>
      <w:r w:rsidRPr="00D8002E">
        <w:rPr>
          <w:u w:val="none"/>
        </w:rPr>
        <w:t>Vacíos en la gestión de casos de Alta complejidad</w:t>
      </w:r>
    </w:p>
    <w:p w14:paraId="7641345A"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La investigación de </w:t>
      </w:r>
      <w:proofErr w:type="spellStart"/>
      <w:r>
        <w:rPr>
          <w:rFonts w:ascii="Arial" w:eastAsia="Arial" w:hAnsi="Arial" w:cs="Arial"/>
          <w:color w:val="000000"/>
          <w:sz w:val="24"/>
          <w:szCs w:val="24"/>
        </w:rPr>
        <w:t>Lupi</w:t>
      </w:r>
      <w:proofErr w:type="spellEnd"/>
      <w:r>
        <w:rPr>
          <w:rFonts w:ascii="Arial" w:eastAsia="Arial" w:hAnsi="Arial" w:cs="Arial"/>
          <w:color w:val="000000"/>
          <w:sz w:val="24"/>
          <w:szCs w:val="24"/>
        </w:rPr>
        <w:t xml:space="preserve"> et al. (2025) desarrolla evidencia clara sobre la diferencia entre lo ofertado por el sistema actual y la demanda epidemiológica real, ya que mientras el estado se ha focalizado en la </w:t>
      </w:r>
      <w:proofErr w:type="spellStart"/>
      <w:r>
        <w:rPr>
          <w:rFonts w:ascii="Arial" w:eastAsia="Arial" w:hAnsi="Arial" w:cs="Arial"/>
          <w:sz w:val="24"/>
          <w:szCs w:val="24"/>
        </w:rPr>
        <w:t>hormonización</w:t>
      </w:r>
      <w:proofErr w:type="spellEnd"/>
      <w:r>
        <w:rPr>
          <w:rFonts w:ascii="Arial" w:eastAsia="Arial" w:hAnsi="Arial" w:cs="Arial"/>
          <w:color w:val="000000"/>
          <w:sz w:val="24"/>
          <w:szCs w:val="24"/>
        </w:rPr>
        <w:t xml:space="preserve"> (tratamiento de baja complejidad) ha dejado de lado las prestaciones críticas de alta complejidad como cirugías y tratamientos para tratar las secuelas de intervenciones hechas fuera del sistema de salud (como inyecciones ilegales de silicona)</w:t>
      </w:r>
    </w:p>
    <w:p w14:paraId="3E82682B"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Este estudio documenta que una gran proporción de la población travesti y trans (especialmente la población mayor de 30 años) presenta complicaciones severas derivadas de la utilización de siliconas </w:t>
      </w:r>
      <w:r>
        <w:rPr>
          <w:rFonts w:ascii="Arial" w:eastAsia="Arial" w:hAnsi="Arial" w:cs="Arial"/>
          <w:sz w:val="24"/>
          <w:szCs w:val="24"/>
        </w:rPr>
        <w:t>líquidas</w:t>
      </w:r>
      <w:r>
        <w:rPr>
          <w:rFonts w:ascii="Arial" w:eastAsia="Arial" w:hAnsi="Arial" w:cs="Arial"/>
          <w:color w:val="000000"/>
          <w:sz w:val="24"/>
          <w:szCs w:val="24"/>
        </w:rPr>
        <w:t xml:space="preserve"> industriales. Estas complicaciones incluyen dolor crónico invalidante, migración del material a órganos vitales y reacciones autoinmunes sistémicas. Además, según el informe </w:t>
      </w:r>
      <w:r>
        <w:rPr>
          <w:rFonts w:ascii="Arial" w:eastAsia="Arial" w:hAnsi="Arial" w:cs="Arial"/>
          <w:i/>
          <w:iCs/>
          <w:color w:val="000000"/>
          <w:sz w:val="24"/>
          <w:szCs w:val="24"/>
        </w:rPr>
        <w:t>La Revolución de las Mariposas</w:t>
      </w:r>
      <w:r>
        <w:rPr>
          <w:rFonts w:ascii="Arial" w:eastAsia="Arial" w:hAnsi="Arial" w:cs="Arial"/>
          <w:color w:val="000000"/>
          <w:sz w:val="24"/>
          <w:szCs w:val="24"/>
        </w:rPr>
        <w:t xml:space="preserve"> (2016) el 3.1% de los fallecimientos de la comunidad trans se atribuyen directamente a estas complicaciones. </w:t>
      </w:r>
    </w:p>
    <w:p w14:paraId="2BE2FCAF"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Esta carencia en dar respuesta a este tipo de problemáticas es generada por dos motivos principalmente: </w:t>
      </w:r>
    </w:p>
    <w:p w14:paraId="3E048EDB"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Por un lado, un error en la clasificación de las secuelas ya que los departamentos de </w:t>
      </w:r>
      <w:r>
        <w:rPr>
          <w:rFonts w:ascii="Arial" w:eastAsia="Arial" w:hAnsi="Arial" w:cs="Arial"/>
          <w:sz w:val="24"/>
          <w:szCs w:val="24"/>
        </w:rPr>
        <w:t>auditoría</w:t>
      </w:r>
      <w:r>
        <w:rPr>
          <w:rFonts w:ascii="Arial" w:eastAsia="Arial" w:hAnsi="Arial" w:cs="Arial"/>
          <w:color w:val="000000"/>
          <w:sz w:val="24"/>
          <w:szCs w:val="24"/>
        </w:rPr>
        <w:t xml:space="preserve"> </w:t>
      </w:r>
      <w:r>
        <w:rPr>
          <w:rFonts w:ascii="Arial" w:eastAsia="Arial" w:hAnsi="Arial" w:cs="Arial"/>
          <w:sz w:val="24"/>
          <w:szCs w:val="24"/>
        </w:rPr>
        <w:t>médica</w:t>
      </w:r>
      <w:r>
        <w:rPr>
          <w:rFonts w:ascii="Arial" w:eastAsia="Arial" w:hAnsi="Arial" w:cs="Arial"/>
          <w:color w:val="000000"/>
          <w:sz w:val="24"/>
          <w:szCs w:val="24"/>
        </w:rPr>
        <w:t xml:space="preserve"> tienden a catalogarlas como “problemas estéticos” o “consecuencias de mala praxis voluntaria” bloqueando a futuro cualquier cobertura de intervenciones necesarias para mitigar los síntomas. </w:t>
      </w:r>
    </w:p>
    <w:p w14:paraId="4FE933C3"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Y, por otro lado, al haber una ausencia de guías de práctica clínicas y circuitos de derivación cuando los CI detectan esta patología en el primer nivel no tiene un lugar </w:t>
      </w:r>
      <w:r>
        <w:rPr>
          <w:rFonts w:ascii="Arial" w:eastAsia="Arial" w:hAnsi="Arial" w:cs="Arial"/>
          <w:color w:val="000000"/>
          <w:sz w:val="24"/>
          <w:szCs w:val="24"/>
        </w:rPr>
        <w:lastRenderedPageBreak/>
        <w:t xml:space="preserve">para donde derivarlos donde se les pueda dar una tratamiento interdisciplinario que aborde todo lo necesario para curar esto (Infectología, Cirugía reconstructiva y Tratamiento del dolor) Además, esto tendrá una consecuencia económica ya que en vez de ofrecer una solución definitiva (como una cirugía de remoción) el sistema de salud gasta recursos de manera ineficiente en tratamientos crónicos paliativos (como analgésicos y antibióticos recurrentes) y en internaciones por infecciones graves recurrentes que </w:t>
      </w:r>
      <w:r>
        <w:rPr>
          <w:rFonts w:ascii="Arial" w:eastAsia="Arial" w:hAnsi="Arial" w:cs="Arial"/>
          <w:color w:val="000000"/>
          <w:sz w:val="24"/>
          <w:szCs w:val="24"/>
        </w:rPr>
        <w:t xml:space="preserve">se </w:t>
      </w:r>
      <w:r>
        <w:rPr>
          <w:rFonts w:ascii="Arial" w:eastAsia="Arial" w:hAnsi="Arial" w:cs="Arial"/>
          <w:sz w:val="24"/>
          <w:szCs w:val="24"/>
        </w:rPr>
        <w:t>trasladaron</w:t>
      </w:r>
      <w:r>
        <w:rPr>
          <w:rFonts w:ascii="Arial" w:eastAsia="Arial" w:hAnsi="Arial" w:cs="Arial"/>
          <w:color w:val="000000"/>
          <w:sz w:val="24"/>
          <w:szCs w:val="24"/>
        </w:rPr>
        <w:t xml:space="preserve"> en gastos mayores para el estado comparado con una sola intervención quirúrgica. </w:t>
      </w:r>
    </w:p>
    <w:p w14:paraId="40738F44"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Finalmente, la carencia de formación específica es reconocida por los propios equipos de salud. Un testimonio </w:t>
      </w:r>
      <w:r>
        <w:rPr>
          <w:rFonts w:ascii="Arial" w:eastAsia="Arial" w:hAnsi="Arial" w:cs="Arial"/>
          <w:sz w:val="24"/>
          <w:szCs w:val="24"/>
        </w:rPr>
        <w:t>médico</w:t>
      </w:r>
      <w:r>
        <w:rPr>
          <w:rFonts w:ascii="Arial" w:eastAsia="Arial" w:hAnsi="Arial" w:cs="Arial"/>
          <w:color w:val="000000"/>
          <w:sz w:val="24"/>
          <w:szCs w:val="24"/>
        </w:rPr>
        <w:t xml:space="preserve"> de </w:t>
      </w:r>
      <w:proofErr w:type="spellStart"/>
      <w:r>
        <w:rPr>
          <w:rFonts w:ascii="Arial" w:eastAsia="Arial" w:hAnsi="Arial" w:cs="Arial"/>
          <w:color w:val="000000"/>
          <w:sz w:val="24"/>
          <w:szCs w:val="24"/>
        </w:rPr>
        <w:t>Lupi</w:t>
      </w:r>
      <w:proofErr w:type="spellEnd"/>
      <w:r>
        <w:rPr>
          <w:rFonts w:ascii="Arial" w:eastAsia="Arial" w:hAnsi="Arial" w:cs="Arial"/>
          <w:color w:val="000000"/>
          <w:sz w:val="24"/>
          <w:szCs w:val="24"/>
        </w:rPr>
        <w:t xml:space="preserve"> et al. (2025) demuestra esta falta: “De silicona líquida si hay alguna capacitación avísenme, porque nunca me enteré que existiera [...] Es como una búsqueda de hormiga” (p. 7)</w:t>
      </w:r>
    </w:p>
    <w:p w14:paraId="2C4BEBDC" w14:textId="77777777" w:rsidR="002232E6" w:rsidRPr="00D8002E" w:rsidRDefault="00501254" w:rsidP="00D8002E">
      <w:pPr>
        <w:pStyle w:val="Heading2"/>
        <w:rPr>
          <w:u w:val="none"/>
        </w:rPr>
      </w:pPr>
      <w:bookmarkStart w:id="18" w:name="_heading=h.5hh2dcm4a2tu" w:colFirst="0" w:colLast="0"/>
      <w:bookmarkEnd w:id="18"/>
      <w:r w:rsidRPr="00D8002E">
        <w:rPr>
          <w:u w:val="none"/>
        </w:rPr>
        <w:t>La Judicialización como Indicador de Falla</w:t>
      </w:r>
    </w:p>
    <w:p w14:paraId="77A42DB0"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Finalmente, en el análisis de Ríos (2025) se desarrolla que la utilización de amparos judiciales para poder acceder a cirugías y/u otros tratamientos necesarios debería actuar como un indicador importante para la gestión. Esta judicialización demuestra que los canales administrativos ordinarios (admisión a los centros o </w:t>
      </w:r>
      <w:r>
        <w:rPr>
          <w:rFonts w:ascii="Arial" w:eastAsia="Arial" w:hAnsi="Arial" w:cs="Arial"/>
          <w:sz w:val="24"/>
          <w:szCs w:val="24"/>
        </w:rPr>
        <w:t>auditoría</w:t>
      </w:r>
      <w:r>
        <w:rPr>
          <w:rFonts w:ascii="Arial" w:eastAsia="Arial" w:hAnsi="Arial" w:cs="Arial"/>
          <w:color w:val="000000"/>
          <w:sz w:val="24"/>
          <w:szCs w:val="24"/>
        </w:rPr>
        <w:t xml:space="preserve"> </w:t>
      </w:r>
      <w:r>
        <w:rPr>
          <w:rFonts w:ascii="Arial" w:eastAsia="Arial" w:hAnsi="Arial" w:cs="Arial"/>
          <w:sz w:val="24"/>
          <w:szCs w:val="24"/>
        </w:rPr>
        <w:t>médica</w:t>
      </w:r>
      <w:r>
        <w:rPr>
          <w:rFonts w:ascii="Arial" w:eastAsia="Arial" w:hAnsi="Arial" w:cs="Arial"/>
          <w:color w:val="000000"/>
          <w:sz w:val="24"/>
          <w:szCs w:val="24"/>
        </w:rPr>
        <w:t xml:space="preserve">) no están alineados con la Ley 26473. Entonces cuando esta gestión falla en avalar los derechos </w:t>
      </w:r>
      <w:r>
        <w:rPr>
          <w:rFonts w:ascii="Arial" w:eastAsia="Arial" w:hAnsi="Arial" w:cs="Arial"/>
          <w:sz w:val="24"/>
          <w:szCs w:val="24"/>
        </w:rPr>
        <w:t>dados</w:t>
      </w:r>
      <w:r>
        <w:rPr>
          <w:rFonts w:ascii="Arial" w:eastAsia="Arial" w:hAnsi="Arial" w:cs="Arial"/>
          <w:color w:val="000000"/>
          <w:sz w:val="24"/>
          <w:szCs w:val="24"/>
        </w:rPr>
        <w:t xml:space="preserve"> por esta ley el paciente se ve obligado a litigar en contra del Estado. Esto no solo genera costos legales para el sistema (como honorarios) sino que también rompe con la equidad del acceso a la atención (que es una base fundamental del sistema de salud </w:t>
      </w:r>
      <w:r>
        <w:rPr>
          <w:rFonts w:ascii="Arial" w:eastAsia="Arial" w:hAnsi="Arial" w:cs="Arial"/>
          <w:sz w:val="24"/>
          <w:szCs w:val="24"/>
        </w:rPr>
        <w:t>público</w:t>
      </w:r>
      <w:r>
        <w:rPr>
          <w:rFonts w:ascii="Arial" w:eastAsia="Arial" w:hAnsi="Arial" w:cs="Arial"/>
          <w:color w:val="000000"/>
          <w:sz w:val="24"/>
          <w:szCs w:val="24"/>
        </w:rPr>
        <w:t>) ya que para poder acceder a una salud integral se deberá tener los recursos monetarios y legales para poder demandar al Estado, de</w:t>
      </w:r>
      <w:r>
        <w:rPr>
          <w:rFonts w:ascii="Arial" w:eastAsia="Arial" w:hAnsi="Arial" w:cs="Arial"/>
          <w:color w:val="000000"/>
          <w:sz w:val="24"/>
          <w:szCs w:val="24"/>
        </w:rPr>
        <w:t xml:space="preserve">jando por fuera a los sectores </w:t>
      </w:r>
      <w:r>
        <w:rPr>
          <w:rFonts w:ascii="Arial" w:eastAsia="Arial" w:hAnsi="Arial" w:cs="Arial"/>
          <w:sz w:val="24"/>
          <w:szCs w:val="24"/>
        </w:rPr>
        <w:t>más</w:t>
      </w:r>
      <w:r>
        <w:rPr>
          <w:rFonts w:ascii="Arial" w:eastAsia="Arial" w:hAnsi="Arial" w:cs="Arial"/>
          <w:color w:val="000000"/>
          <w:sz w:val="24"/>
          <w:szCs w:val="24"/>
        </w:rPr>
        <w:t xml:space="preserve"> vulnerables. </w:t>
      </w:r>
    </w:p>
    <w:p w14:paraId="70799FD0" w14:textId="77777777" w:rsidR="002232E6" w:rsidRDefault="002232E6" w:rsidP="00D8002E">
      <w:pPr>
        <w:spacing w:line="360" w:lineRule="auto"/>
        <w:jc w:val="both"/>
        <w:rPr>
          <w:rFonts w:ascii="Arial" w:eastAsia="Arial" w:hAnsi="Arial" w:cs="Arial"/>
          <w:color w:val="000000"/>
          <w:sz w:val="24"/>
          <w:szCs w:val="24"/>
          <w:u w:val="single"/>
        </w:rPr>
      </w:pPr>
    </w:p>
    <w:p w14:paraId="04F4D78A" w14:textId="77777777" w:rsidR="002232E6" w:rsidRDefault="002232E6">
      <w:pPr>
        <w:spacing w:line="360" w:lineRule="auto"/>
        <w:ind w:left="708" w:hanging="708"/>
        <w:rPr>
          <w:rFonts w:ascii="Arial" w:eastAsia="Arial" w:hAnsi="Arial" w:cs="Arial"/>
          <w:b/>
          <w:bCs/>
          <w:color w:val="000000"/>
          <w:sz w:val="40"/>
          <w:szCs w:val="40"/>
          <w:u w:val="single"/>
        </w:rPr>
      </w:pPr>
    </w:p>
    <w:p w14:paraId="3FFD8F0B" w14:textId="77777777" w:rsidR="002232E6" w:rsidRPr="00D8002E" w:rsidRDefault="00501254" w:rsidP="00D8002E">
      <w:pPr>
        <w:pStyle w:val="Heading1"/>
        <w:jc w:val="left"/>
        <w:rPr>
          <w:u w:val="none"/>
        </w:rPr>
      </w:pPr>
      <w:bookmarkStart w:id="19" w:name="_heading=h.bdc510e10qht" w:colFirst="0" w:colLast="0"/>
      <w:bookmarkEnd w:id="19"/>
      <w:r w:rsidRPr="00D8002E">
        <w:rPr>
          <w:u w:val="none"/>
        </w:rPr>
        <w:lastRenderedPageBreak/>
        <w:t>Discusión:</w:t>
      </w:r>
    </w:p>
    <w:p w14:paraId="7D655E87"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En base a los resultados encontrados y comparando con el marco teórico se desarrollará un análisis que está basado en 4 ejes fundamentales: La línea entre segregación e integración, la sostenibilidad del modelo actual, la brecha entre lo legal y lo real y un análisis de la eficiencia de asignación de recursos. </w:t>
      </w:r>
    </w:p>
    <w:p w14:paraId="34E85076" w14:textId="77777777" w:rsidR="002232E6" w:rsidRDefault="002232E6">
      <w:pPr>
        <w:spacing w:line="360" w:lineRule="auto"/>
        <w:rPr>
          <w:rFonts w:ascii="Arial" w:eastAsia="Arial" w:hAnsi="Arial" w:cs="Arial"/>
          <w:b/>
          <w:bCs/>
          <w:color w:val="000000"/>
          <w:sz w:val="32"/>
          <w:szCs w:val="32"/>
          <w:u w:val="single"/>
        </w:rPr>
      </w:pPr>
    </w:p>
    <w:p w14:paraId="4F639C9A" w14:textId="77777777" w:rsidR="002232E6" w:rsidRPr="00D8002E" w:rsidRDefault="00501254" w:rsidP="00D8002E">
      <w:pPr>
        <w:pStyle w:val="Heading2"/>
        <w:rPr>
          <w:u w:val="none"/>
        </w:rPr>
      </w:pPr>
      <w:bookmarkStart w:id="20" w:name="_heading=h.yazm6fav4olb" w:colFirst="0" w:colLast="0"/>
      <w:bookmarkEnd w:id="20"/>
      <w:r w:rsidRPr="00D8002E">
        <w:rPr>
          <w:u w:val="none"/>
        </w:rPr>
        <w:t>Consultorios Inclusivos: Discriminación o integración:</w:t>
      </w:r>
    </w:p>
    <w:p w14:paraId="3B7BA2B4"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Este primer punto está basado en el modelo de gestión que desarrolla </w:t>
      </w:r>
      <w:proofErr w:type="spellStart"/>
      <w:r>
        <w:rPr>
          <w:rFonts w:ascii="Arial" w:eastAsia="Arial" w:hAnsi="Arial" w:cs="Arial"/>
          <w:color w:val="000000"/>
          <w:sz w:val="24"/>
          <w:szCs w:val="24"/>
        </w:rPr>
        <w:t>Dellacasa</w:t>
      </w:r>
      <w:proofErr w:type="spellEnd"/>
      <w:r>
        <w:rPr>
          <w:rFonts w:ascii="Arial" w:eastAsia="Arial" w:hAnsi="Arial" w:cs="Arial"/>
          <w:color w:val="000000"/>
          <w:sz w:val="24"/>
          <w:szCs w:val="24"/>
        </w:rPr>
        <w:t xml:space="preserve"> (2023b) defendiendo la implementación de “acciones afirmativas” como un mecanismo necesario de discriminación positiva para poder nivelar el terreno de juego. Los resultados de esta investigación confirman que, por lo menos en una primera etapa, esta estrategia de crear espacios diferenciados (los Consultorios Inclusivos) ha sido exitosa para poder reducir la barrera de entrada al sistema. Pero, por otro lado, según </w:t>
      </w:r>
      <w:proofErr w:type="spellStart"/>
      <w:r>
        <w:rPr>
          <w:rFonts w:ascii="Arial" w:eastAsia="Arial" w:hAnsi="Arial" w:cs="Arial"/>
          <w:color w:val="000000"/>
          <w:sz w:val="24"/>
          <w:szCs w:val="24"/>
        </w:rPr>
        <w:t>Vissicchio</w:t>
      </w:r>
      <w:proofErr w:type="spellEnd"/>
      <w:r>
        <w:rPr>
          <w:rFonts w:ascii="Arial" w:eastAsia="Arial" w:hAnsi="Arial" w:cs="Arial"/>
          <w:color w:val="000000"/>
          <w:sz w:val="24"/>
          <w:szCs w:val="24"/>
        </w:rPr>
        <w:t xml:space="preserve"> et al. (2023) y Salinas et al. (2023) este modelo actual lleva el riesgo de qued</w:t>
      </w:r>
      <w:r>
        <w:rPr>
          <w:rFonts w:ascii="Arial" w:eastAsia="Arial" w:hAnsi="Arial" w:cs="Arial"/>
          <w:color w:val="000000"/>
          <w:sz w:val="24"/>
          <w:szCs w:val="24"/>
        </w:rPr>
        <w:t xml:space="preserve">arse en esta “inclusión segregada”. Esto se da porque si el paciente </w:t>
      </w:r>
      <w:r>
        <w:rPr>
          <w:rFonts w:ascii="Arial" w:eastAsia="Arial" w:hAnsi="Arial" w:cs="Arial"/>
          <w:sz w:val="24"/>
          <w:szCs w:val="24"/>
        </w:rPr>
        <w:t>sólo</w:t>
      </w:r>
      <w:r>
        <w:rPr>
          <w:rFonts w:ascii="Arial" w:eastAsia="Arial" w:hAnsi="Arial" w:cs="Arial"/>
          <w:color w:val="000000"/>
          <w:sz w:val="24"/>
          <w:szCs w:val="24"/>
        </w:rPr>
        <w:t xml:space="preserve"> recibe trato digno dentro de estos consultorios especializados, pero luego es violentado simbólicamente al ingresar a otra guardia, un quirófano o un hospital general de segundo nivel, significa que la estrategia a final del día </w:t>
      </w:r>
      <w:r>
        <w:rPr>
          <w:rFonts w:ascii="Arial" w:eastAsia="Arial" w:hAnsi="Arial" w:cs="Arial"/>
          <w:sz w:val="24"/>
          <w:szCs w:val="24"/>
        </w:rPr>
        <w:t>está</w:t>
      </w:r>
      <w:r>
        <w:rPr>
          <w:rFonts w:ascii="Arial" w:eastAsia="Arial" w:hAnsi="Arial" w:cs="Arial"/>
          <w:color w:val="000000"/>
          <w:sz w:val="24"/>
          <w:szCs w:val="24"/>
        </w:rPr>
        <w:t xml:space="preserve"> fallando. Además, al comparar la situación de Buenos Aires con los estudios de Artazo (2023) y Bertone et al. (2025) en Córdoba se observa que hay un patrón a nivel nacional: donde estos centros focalizad</w:t>
      </w:r>
      <w:r>
        <w:rPr>
          <w:rFonts w:ascii="Arial" w:eastAsia="Arial" w:hAnsi="Arial" w:cs="Arial"/>
          <w:color w:val="000000"/>
          <w:sz w:val="24"/>
          <w:szCs w:val="24"/>
        </w:rPr>
        <w:t xml:space="preserve">os funcionan como “islas” donde se respetan los derechos dentro de un sistema que sigue conservando las características que llevan a la expulsión sistemática de la comunidad trans. Esto resalta que hay un error grave ocurriendo donde en vez de enfocarse en transformar la cultura organizacional de todo el sistema (que será </w:t>
      </w:r>
      <w:r>
        <w:rPr>
          <w:rFonts w:ascii="Arial" w:eastAsia="Arial" w:hAnsi="Arial" w:cs="Arial"/>
          <w:sz w:val="24"/>
          <w:szCs w:val="24"/>
        </w:rPr>
        <w:t>más</w:t>
      </w:r>
      <w:r>
        <w:rPr>
          <w:rFonts w:ascii="Arial" w:eastAsia="Arial" w:hAnsi="Arial" w:cs="Arial"/>
          <w:color w:val="000000"/>
          <w:sz w:val="24"/>
          <w:szCs w:val="24"/>
        </w:rPr>
        <w:t xml:space="preserve"> complicado y costoso, pero </w:t>
      </w:r>
      <w:r>
        <w:rPr>
          <w:rFonts w:ascii="Arial" w:eastAsia="Arial" w:hAnsi="Arial" w:cs="Arial"/>
          <w:sz w:val="24"/>
          <w:szCs w:val="24"/>
        </w:rPr>
        <w:t>perdurará</w:t>
      </w:r>
      <w:r>
        <w:rPr>
          <w:rFonts w:ascii="Arial" w:eastAsia="Arial" w:hAnsi="Arial" w:cs="Arial"/>
          <w:color w:val="000000"/>
          <w:sz w:val="24"/>
          <w:szCs w:val="24"/>
        </w:rPr>
        <w:t xml:space="preserve"> en el tiempo) se implementan políticas que crean estos “espacios amigables que terminan costando menos al corto plazo, pero tienen el riesgo de ser</w:t>
      </w:r>
      <w:r>
        <w:rPr>
          <w:rFonts w:ascii="Arial" w:eastAsia="Arial" w:hAnsi="Arial" w:cs="Arial"/>
          <w:color w:val="000000"/>
          <w:sz w:val="24"/>
          <w:szCs w:val="24"/>
        </w:rPr>
        <w:t xml:space="preserve"> insostenibles. </w:t>
      </w:r>
    </w:p>
    <w:p w14:paraId="111D964E" w14:textId="77777777" w:rsidR="002232E6" w:rsidRPr="00D8002E" w:rsidRDefault="00501254" w:rsidP="00D8002E">
      <w:pPr>
        <w:pStyle w:val="Heading2"/>
        <w:jc w:val="both"/>
        <w:rPr>
          <w:u w:val="none"/>
        </w:rPr>
      </w:pPr>
      <w:bookmarkStart w:id="21" w:name="_heading=h.3387afoey0td" w:colFirst="0" w:colLast="0"/>
      <w:bookmarkEnd w:id="21"/>
      <w:r w:rsidRPr="00D8002E">
        <w:rPr>
          <w:u w:val="none"/>
        </w:rPr>
        <w:br w:type="page"/>
      </w:r>
      <w:r w:rsidRPr="00D8002E">
        <w:rPr>
          <w:u w:val="none"/>
        </w:rPr>
        <w:lastRenderedPageBreak/>
        <w:t>Sostenibilidad del Modelo Actual</w:t>
      </w:r>
    </w:p>
    <w:p w14:paraId="371BE9AE"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Como mencione anteriormente, el modelo actual implementado como es descrito por </w:t>
      </w:r>
      <w:proofErr w:type="spellStart"/>
      <w:r>
        <w:rPr>
          <w:rFonts w:ascii="Arial" w:eastAsia="Arial" w:hAnsi="Arial" w:cs="Arial"/>
          <w:color w:val="000000"/>
          <w:sz w:val="24"/>
          <w:szCs w:val="24"/>
        </w:rPr>
        <w:t>Darouiche</w:t>
      </w:r>
      <w:proofErr w:type="spellEnd"/>
      <w:r>
        <w:rPr>
          <w:rFonts w:ascii="Arial" w:eastAsia="Arial" w:hAnsi="Arial" w:cs="Arial"/>
          <w:color w:val="000000"/>
          <w:sz w:val="24"/>
          <w:szCs w:val="24"/>
        </w:rPr>
        <w:t xml:space="preserve"> et al. (2025), tiene una dependencia alta de la voluntad de cada profesional de la salud, llevando a que la viabilidad a futuro sea muy baja. En el contexto de la gestión moderna de la salud (gestión por procesos estandarizados) que busca reducir la variabilidad en la calidad de la atención y mitigar riesgos los CI no podrán sobrevivir. Para que esto cambie el éxito de los CI debería dejar de depender del capital social y la motivación de cada profesional, por ejemplo, si el </w:t>
      </w:r>
      <w:r>
        <w:rPr>
          <w:rFonts w:ascii="Arial" w:eastAsia="Arial" w:hAnsi="Arial" w:cs="Arial"/>
          <w:sz w:val="24"/>
          <w:szCs w:val="24"/>
        </w:rPr>
        <w:t>médico</w:t>
      </w:r>
      <w:r>
        <w:rPr>
          <w:rFonts w:ascii="Arial" w:eastAsia="Arial" w:hAnsi="Arial" w:cs="Arial"/>
          <w:color w:val="000000"/>
          <w:sz w:val="24"/>
          <w:szCs w:val="24"/>
        </w:rPr>
        <w:t xml:space="preserve"> que </w:t>
      </w:r>
      <w:r>
        <w:rPr>
          <w:rFonts w:ascii="Arial" w:eastAsia="Arial" w:hAnsi="Arial" w:cs="Arial"/>
          <w:sz w:val="24"/>
          <w:szCs w:val="24"/>
        </w:rPr>
        <w:t>está</w:t>
      </w:r>
      <w:r>
        <w:rPr>
          <w:rFonts w:ascii="Arial" w:eastAsia="Arial" w:hAnsi="Arial" w:cs="Arial"/>
          <w:color w:val="000000"/>
          <w:sz w:val="24"/>
          <w:szCs w:val="24"/>
        </w:rPr>
        <w:t xml:space="preserve"> a carg</w:t>
      </w:r>
      <w:r>
        <w:rPr>
          <w:rFonts w:ascii="Arial" w:eastAsia="Arial" w:hAnsi="Arial" w:cs="Arial"/>
          <w:color w:val="000000"/>
          <w:sz w:val="24"/>
          <w:szCs w:val="24"/>
        </w:rPr>
        <w:t xml:space="preserve">o tiene “buenos contactos” dentro de hospitales los pacientes pueden acceder a cirugías, y el Estado deberá intervenir para poder empezar a garantizar el derecho de atención donde se deberán establecer procesos claros que funcionaran independientemente de la persona que </w:t>
      </w:r>
      <w:r>
        <w:rPr>
          <w:rFonts w:ascii="Arial" w:eastAsia="Arial" w:hAnsi="Arial" w:cs="Arial"/>
          <w:sz w:val="24"/>
          <w:szCs w:val="24"/>
        </w:rPr>
        <w:t>esté</w:t>
      </w:r>
      <w:r>
        <w:rPr>
          <w:rFonts w:ascii="Arial" w:eastAsia="Arial" w:hAnsi="Arial" w:cs="Arial"/>
          <w:color w:val="000000"/>
          <w:sz w:val="24"/>
          <w:szCs w:val="24"/>
        </w:rPr>
        <w:t xml:space="preserve"> a cargo de cada centro. </w:t>
      </w:r>
      <w:proofErr w:type="spellStart"/>
      <w:r>
        <w:rPr>
          <w:rFonts w:ascii="Arial" w:eastAsia="Arial" w:hAnsi="Arial" w:cs="Arial"/>
          <w:color w:val="000000"/>
          <w:sz w:val="24"/>
          <w:szCs w:val="24"/>
        </w:rPr>
        <w:t>Ademas</w:t>
      </w:r>
      <w:proofErr w:type="spellEnd"/>
      <w:r>
        <w:rPr>
          <w:rFonts w:ascii="Arial" w:eastAsia="Arial" w:hAnsi="Arial" w:cs="Arial"/>
          <w:color w:val="000000"/>
          <w:sz w:val="24"/>
          <w:szCs w:val="24"/>
        </w:rPr>
        <w:t xml:space="preserve">, la gestión debería alinearse a procesos estandarizados a avalados por organizaciones internacionales como los que están desarrollados en la </w:t>
      </w:r>
      <w:r>
        <w:rPr>
          <w:rFonts w:ascii="Arial" w:eastAsia="Arial" w:hAnsi="Arial" w:cs="Arial"/>
          <w:i/>
          <w:iCs/>
          <w:sz w:val="24"/>
          <w:szCs w:val="24"/>
        </w:rPr>
        <w:t xml:space="preserve">Guía sobre la salud de las personas trans y de género diverso </w:t>
      </w:r>
      <w:r>
        <w:rPr>
          <w:rFonts w:ascii="Arial" w:eastAsia="Arial" w:hAnsi="Arial" w:cs="Arial"/>
          <w:sz w:val="24"/>
          <w:szCs w:val="24"/>
        </w:rPr>
        <w:t>qu</w:t>
      </w:r>
      <w:r>
        <w:rPr>
          <w:rFonts w:ascii="Arial" w:eastAsia="Arial" w:hAnsi="Arial" w:cs="Arial"/>
          <w:sz w:val="24"/>
          <w:szCs w:val="24"/>
        </w:rPr>
        <w:t xml:space="preserve">e publicó la OPS en 2024, que establece criterios claros para la atención integral, la reducción de barreras y la educación del personal sanitario. </w:t>
      </w:r>
    </w:p>
    <w:p w14:paraId="44E08CA8" w14:textId="77777777" w:rsidR="002232E6" w:rsidRDefault="002232E6">
      <w:pPr>
        <w:spacing w:line="360" w:lineRule="auto"/>
        <w:rPr>
          <w:rFonts w:ascii="Arial" w:eastAsia="Arial" w:hAnsi="Arial" w:cs="Arial"/>
          <w:b/>
          <w:bCs/>
          <w:color w:val="EE0000"/>
          <w:sz w:val="24"/>
          <w:szCs w:val="24"/>
          <w:u w:val="single"/>
        </w:rPr>
      </w:pPr>
    </w:p>
    <w:p w14:paraId="7580D7B4" w14:textId="77777777" w:rsidR="002232E6" w:rsidRPr="00D8002E" w:rsidRDefault="00501254" w:rsidP="00D8002E">
      <w:pPr>
        <w:pStyle w:val="Heading2"/>
        <w:rPr>
          <w:u w:val="none"/>
        </w:rPr>
      </w:pPr>
      <w:bookmarkStart w:id="22" w:name="_heading=h.ogpt5lxnie9v" w:colFirst="0" w:colLast="0"/>
      <w:bookmarkEnd w:id="22"/>
      <w:r w:rsidRPr="00D8002E">
        <w:rPr>
          <w:u w:val="none"/>
        </w:rPr>
        <w:t>La brecha entre la ley y lo que pasa en la realidad</w:t>
      </w:r>
    </w:p>
    <w:p w14:paraId="6AE009F3"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También existe una disonancia </w:t>
      </w:r>
      <w:r>
        <w:rPr>
          <w:rFonts w:ascii="Arial" w:eastAsia="Arial" w:hAnsi="Arial" w:cs="Arial"/>
          <w:sz w:val="24"/>
          <w:szCs w:val="24"/>
        </w:rPr>
        <w:t>marcada</w:t>
      </w:r>
      <w:r>
        <w:rPr>
          <w:rFonts w:ascii="Arial" w:eastAsia="Arial" w:hAnsi="Arial" w:cs="Arial"/>
          <w:color w:val="000000"/>
          <w:sz w:val="24"/>
          <w:szCs w:val="24"/>
        </w:rPr>
        <w:t xml:space="preserve"> entre lo que describen las normativas (como la Ley 26743) y lo que ocurre en la vida real. En la investigación hecha por </w:t>
      </w:r>
      <w:r>
        <w:rPr>
          <w:rFonts w:ascii="Arial" w:eastAsia="Arial" w:hAnsi="Arial" w:cs="Arial"/>
          <w:sz w:val="24"/>
          <w:szCs w:val="24"/>
        </w:rPr>
        <w:t>Ríos</w:t>
      </w:r>
      <w:r>
        <w:rPr>
          <w:rFonts w:ascii="Arial" w:eastAsia="Arial" w:hAnsi="Arial" w:cs="Arial"/>
          <w:color w:val="000000"/>
          <w:sz w:val="24"/>
          <w:szCs w:val="24"/>
        </w:rPr>
        <w:t xml:space="preserve"> (2025) que desarrolla el tema de la judicialización de la salud y el estudio de </w:t>
      </w:r>
      <w:proofErr w:type="spellStart"/>
      <w:r>
        <w:rPr>
          <w:rFonts w:ascii="Arial" w:eastAsia="Arial" w:hAnsi="Arial" w:cs="Arial"/>
          <w:color w:val="000000"/>
          <w:sz w:val="24"/>
          <w:szCs w:val="24"/>
        </w:rPr>
        <w:t>Lupi</w:t>
      </w:r>
      <w:proofErr w:type="spellEnd"/>
      <w:r>
        <w:rPr>
          <w:rFonts w:ascii="Arial" w:eastAsia="Arial" w:hAnsi="Arial" w:cs="Arial"/>
          <w:color w:val="000000"/>
          <w:sz w:val="24"/>
          <w:szCs w:val="24"/>
        </w:rPr>
        <w:t xml:space="preserve"> et al. (2025) sobre las siliconas exponen esta brecha mencionando, por ejemplo: Que el hecho de requerir amparos judiciales para acceder a prestaciones en el PMO demuestra que los sistemas de </w:t>
      </w:r>
      <w:r>
        <w:rPr>
          <w:rFonts w:ascii="Arial" w:eastAsia="Arial" w:hAnsi="Arial" w:cs="Arial"/>
          <w:sz w:val="24"/>
          <w:szCs w:val="24"/>
        </w:rPr>
        <w:t>auditorías</w:t>
      </w:r>
      <w:r>
        <w:rPr>
          <w:rFonts w:ascii="Arial" w:eastAsia="Arial" w:hAnsi="Arial" w:cs="Arial"/>
          <w:color w:val="000000"/>
          <w:sz w:val="24"/>
          <w:szCs w:val="24"/>
        </w:rPr>
        <w:t xml:space="preserve"> </w:t>
      </w:r>
      <w:r>
        <w:rPr>
          <w:rFonts w:ascii="Arial" w:eastAsia="Arial" w:hAnsi="Arial" w:cs="Arial"/>
          <w:sz w:val="24"/>
          <w:szCs w:val="24"/>
        </w:rPr>
        <w:t>médicas</w:t>
      </w:r>
      <w:r>
        <w:rPr>
          <w:rFonts w:ascii="Arial" w:eastAsia="Arial" w:hAnsi="Arial" w:cs="Arial"/>
          <w:color w:val="000000"/>
          <w:sz w:val="24"/>
          <w:szCs w:val="24"/>
        </w:rPr>
        <w:t xml:space="preserve"> siguen operando bajo la lógica </w:t>
      </w:r>
      <w:proofErr w:type="spellStart"/>
      <w:r>
        <w:rPr>
          <w:rFonts w:ascii="Arial" w:eastAsia="Arial" w:hAnsi="Arial" w:cs="Arial"/>
          <w:color w:val="000000"/>
          <w:sz w:val="24"/>
          <w:szCs w:val="24"/>
        </w:rPr>
        <w:t>patologizante</w:t>
      </w:r>
      <w:proofErr w:type="spellEnd"/>
      <w:r>
        <w:rPr>
          <w:rFonts w:ascii="Arial" w:eastAsia="Arial" w:hAnsi="Arial" w:cs="Arial"/>
          <w:color w:val="000000"/>
          <w:sz w:val="24"/>
          <w:szCs w:val="24"/>
        </w:rPr>
        <w:t xml:space="preserve"> que era prevalente antes de la sanció</w:t>
      </w:r>
      <w:r>
        <w:rPr>
          <w:rFonts w:ascii="Arial" w:eastAsia="Arial" w:hAnsi="Arial" w:cs="Arial"/>
          <w:color w:val="000000"/>
          <w:sz w:val="24"/>
          <w:szCs w:val="24"/>
        </w:rPr>
        <w:t>n de la Ley 26743, ignorándola por completo. También, que existe una ceguera ante la planificación ya que el sistema de salud sigue viendo la salud trans bajo el paradigma de “</w:t>
      </w:r>
      <w:proofErr w:type="spellStart"/>
      <w:r>
        <w:rPr>
          <w:rFonts w:ascii="Arial" w:eastAsia="Arial" w:hAnsi="Arial" w:cs="Arial"/>
          <w:sz w:val="24"/>
          <w:szCs w:val="24"/>
        </w:rPr>
        <w:t>hormonización</w:t>
      </w:r>
      <w:proofErr w:type="spellEnd"/>
      <w:r>
        <w:rPr>
          <w:rFonts w:ascii="Arial" w:eastAsia="Arial" w:hAnsi="Arial" w:cs="Arial"/>
          <w:color w:val="000000"/>
          <w:sz w:val="24"/>
          <w:szCs w:val="24"/>
        </w:rPr>
        <w:t xml:space="preserve"> + cirugía estética = solo lo que necesitan” ignorando las secuelas y </w:t>
      </w:r>
      <w:r>
        <w:rPr>
          <w:rFonts w:ascii="Arial" w:eastAsia="Arial" w:hAnsi="Arial" w:cs="Arial"/>
          <w:color w:val="000000"/>
          <w:sz w:val="24"/>
          <w:szCs w:val="24"/>
        </w:rPr>
        <w:lastRenderedPageBreak/>
        <w:t xml:space="preserve">enfermedades crónicas generadas por las intervenciones que se hicieron las personas trans (como la inyección de siliconas ilegales) antes de poder acceder al sistema de salud para modificar su cuerpo. Esto deja en claro que, aunque las normas en si son </w:t>
      </w:r>
      <w:r>
        <w:rPr>
          <w:rFonts w:ascii="Arial" w:eastAsia="Arial" w:hAnsi="Arial" w:cs="Arial"/>
          <w:color w:val="000000"/>
          <w:sz w:val="24"/>
          <w:szCs w:val="24"/>
        </w:rPr>
        <w:t xml:space="preserve">progresistas, no llegan a englobar todas las necesidades sanitarias que tiene esta comunidad y tienen un enfoque de ayudar a personas que inician procesos de afirmación de género, pero ignora las consecuencias vividas por las generaciones previas que eran desatendidas por el sistema de salud. Esta brecha demuestra la importancia de los CI no solo como centro de atención </w:t>
      </w:r>
      <w:r>
        <w:rPr>
          <w:rFonts w:ascii="Arial" w:eastAsia="Arial" w:hAnsi="Arial" w:cs="Arial"/>
          <w:sz w:val="24"/>
          <w:szCs w:val="24"/>
        </w:rPr>
        <w:t>para la transición</w:t>
      </w:r>
      <w:r>
        <w:rPr>
          <w:rFonts w:ascii="Arial" w:eastAsia="Arial" w:hAnsi="Arial" w:cs="Arial"/>
          <w:color w:val="000000"/>
          <w:sz w:val="24"/>
          <w:szCs w:val="24"/>
        </w:rPr>
        <w:t xml:space="preserve"> sino como un espacio donde saldar la “deuda sanitaria” de la comunidad trans. </w:t>
      </w:r>
    </w:p>
    <w:p w14:paraId="2FEAAF55" w14:textId="77777777" w:rsidR="002232E6" w:rsidRDefault="002232E6">
      <w:pPr>
        <w:spacing w:line="360" w:lineRule="auto"/>
        <w:rPr>
          <w:rFonts w:ascii="Arial" w:eastAsia="Arial" w:hAnsi="Arial" w:cs="Arial"/>
          <w:b/>
          <w:bCs/>
          <w:color w:val="EE0000"/>
          <w:sz w:val="24"/>
          <w:szCs w:val="24"/>
          <w:u w:val="single"/>
        </w:rPr>
      </w:pPr>
    </w:p>
    <w:p w14:paraId="595513B0" w14:textId="77777777" w:rsidR="002232E6" w:rsidRPr="00D8002E" w:rsidRDefault="00501254" w:rsidP="00D8002E">
      <w:pPr>
        <w:pStyle w:val="Heading2"/>
        <w:rPr>
          <w:u w:val="none"/>
        </w:rPr>
      </w:pPr>
      <w:bookmarkStart w:id="23" w:name="_heading=h.q76vg6rwc17o" w:colFirst="0" w:colLast="0"/>
      <w:bookmarkEnd w:id="23"/>
      <w:r w:rsidRPr="00D8002E">
        <w:rPr>
          <w:u w:val="none"/>
        </w:rPr>
        <w:t>Análisis de la eficiencia del uso de recursos</w:t>
      </w:r>
    </w:p>
    <w:p w14:paraId="2FE12F8A"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Finalmente, siguiendo con lo desarrollado en el punto anterior, la gestión actual está generando “costos de la no-calidad” que podrían ser evitados. Analizando lo desarrollado por </w:t>
      </w:r>
      <w:r>
        <w:rPr>
          <w:rFonts w:ascii="Arial" w:eastAsia="Arial" w:hAnsi="Arial" w:cs="Arial"/>
          <w:sz w:val="24"/>
          <w:szCs w:val="24"/>
        </w:rPr>
        <w:t>Ríos</w:t>
      </w:r>
      <w:r>
        <w:rPr>
          <w:rFonts w:ascii="Arial" w:eastAsia="Arial" w:hAnsi="Arial" w:cs="Arial"/>
          <w:color w:val="000000"/>
          <w:sz w:val="24"/>
          <w:szCs w:val="24"/>
        </w:rPr>
        <w:t xml:space="preserve"> (2025) y lo que mencione previamente la judicialización genera gastos altos para el sistema de salud que podrían ser prevenidos (estos incluyen Honorarios de abogados, </w:t>
      </w:r>
      <w:r>
        <w:rPr>
          <w:rFonts w:ascii="Arial" w:eastAsia="Arial" w:hAnsi="Arial" w:cs="Arial"/>
          <w:sz w:val="24"/>
          <w:szCs w:val="24"/>
        </w:rPr>
        <w:t>gastos</w:t>
      </w:r>
      <w:r>
        <w:rPr>
          <w:rFonts w:ascii="Arial" w:eastAsia="Arial" w:hAnsi="Arial" w:cs="Arial"/>
          <w:color w:val="000000"/>
          <w:sz w:val="24"/>
          <w:szCs w:val="24"/>
        </w:rPr>
        <w:t xml:space="preserve"> judiciales, multas por incumplimiento del PMO, entre otros.) Esto deja en claro que los Consultorios Inclusivos están operando de una forma </w:t>
      </w:r>
      <w:r>
        <w:rPr>
          <w:rFonts w:ascii="Arial" w:eastAsia="Arial" w:hAnsi="Arial" w:cs="Arial"/>
          <w:sz w:val="24"/>
          <w:szCs w:val="24"/>
        </w:rPr>
        <w:t>más</w:t>
      </w:r>
      <w:r>
        <w:rPr>
          <w:rFonts w:ascii="Arial" w:eastAsia="Arial" w:hAnsi="Arial" w:cs="Arial"/>
          <w:color w:val="000000"/>
          <w:sz w:val="24"/>
          <w:szCs w:val="24"/>
        </w:rPr>
        <w:t xml:space="preserve"> eficiente ya que al garantizar acceso a las prestaciones mediante una </w:t>
      </w:r>
      <w:r>
        <w:rPr>
          <w:rFonts w:ascii="Arial" w:eastAsia="Arial" w:hAnsi="Arial" w:cs="Arial"/>
          <w:sz w:val="24"/>
          <w:szCs w:val="24"/>
        </w:rPr>
        <w:t>auditoría</w:t>
      </w:r>
      <w:r>
        <w:rPr>
          <w:rFonts w:ascii="Arial" w:eastAsia="Arial" w:hAnsi="Arial" w:cs="Arial"/>
          <w:color w:val="000000"/>
          <w:sz w:val="24"/>
          <w:szCs w:val="24"/>
        </w:rPr>
        <w:t xml:space="preserve"> </w:t>
      </w:r>
      <w:r>
        <w:rPr>
          <w:rFonts w:ascii="Arial" w:eastAsia="Arial" w:hAnsi="Arial" w:cs="Arial"/>
          <w:sz w:val="24"/>
          <w:szCs w:val="24"/>
        </w:rPr>
        <w:t>médica</w:t>
      </w:r>
      <w:r>
        <w:rPr>
          <w:rFonts w:ascii="Arial" w:eastAsia="Arial" w:hAnsi="Arial" w:cs="Arial"/>
          <w:color w:val="000000"/>
          <w:sz w:val="24"/>
          <w:szCs w:val="24"/>
        </w:rPr>
        <w:t xml:space="preserve"> progresista y rápida se está evitando la judicialización, ahorrándose los </w:t>
      </w:r>
      <w:r>
        <w:rPr>
          <w:rFonts w:ascii="Arial" w:eastAsia="Arial" w:hAnsi="Arial" w:cs="Arial"/>
          <w:sz w:val="24"/>
          <w:szCs w:val="24"/>
        </w:rPr>
        <w:t>costos</w:t>
      </w:r>
      <w:r>
        <w:rPr>
          <w:rFonts w:ascii="Arial" w:eastAsia="Arial" w:hAnsi="Arial" w:cs="Arial"/>
          <w:color w:val="000000"/>
          <w:sz w:val="24"/>
          <w:szCs w:val="24"/>
        </w:rPr>
        <w:t xml:space="preserve"> que </w:t>
      </w:r>
      <w:r>
        <w:rPr>
          <w:rFonts w:ascii="Arial" w:eastAsia="Arial" w:hAnsi="Arial" w:cs="Arial"/>
          <w:sz w:val="24"/>
          <w:szCs w:val="24"/>
        </w:rPr>
        <w:t>menciona</w:t>
      </w:r>
      <w:r>
        <w:rPr>
          <w:rFonts w:ascii="Arial" w:eastAsia="Arial" w:hAnsi="Arial" w:cs="Arial"/>
          <w:color w:val="000000"/>
          <w:sz w:val="24"/>
          <w:szCs w:val="24"/>
        </w:rPr>
        <w:t xml:space="preserve">. </w:t>
      </w:r>
    </w:p>
    <w:p w14:paraId="6CE98A7C" w14:textId="77777777" w:rsidR="002232E6" w:rsidRDefault="00501254" w:rsidP="00D8002E">
      <w:pPr>
        <w:spacing w:line="360" w:lineRule="auto"/>
        <w:jc w:val="both"/>
        <w:rPr>
          <w:rFonts w:ascii="Arial" w:eastAsia="Arial" w:hAnsi="Arial" w:cs="Arial"/>
          <w:b/>
          <w:bCs/>
          <w:color w:val="000000"/>
          <w:sz w:val="40"/>
          <w:szCs w:val="40"/>
          <w:u w:val="single"/>
        </w:rPr>
      </w:pPr>
      <w:r>
        <w:rPr>
          <w:rFonts w:ascii="Arial" w:eastAsia="Arial" w:hAnsi="Arial" w:cs="Arial"/>
          <w:color w:val="000000"/>
          <w:sz w:val="24"/>
          <w:szCs w:val="24"/>
        </w:rPr>
        <w:t xml:space="preserve">Por otro lado, el estudio de </w:t>
      </w:r>
      <w:proofErr w:type="spellStart"/>
      <w:r>
        <w:rPr>
          <w:rFonts w:ascii="Arial" w:eastAsia="Arial" w:hAnsi="Arial" w:cs="Arial"/>
          <w:color w:val="000000"/>
          <w:sz w:val="24"/>
          <w:szCs w:val="24"/>
        </w:rPr>
        <w:t>Lupi</w:t>
      </w:r>
      <w:proofErr w:type="spellEnd"/>
      <w:r>
        <w:rPr>
          <w:rFonts w:ascii="Arial" w:eastAsia="Arial" w:hAnsi="Arial" w:cs="Arial"/>
          <w:color w:val="000000"/>
          <w:sz w:val="24"/>
          <w:szCs w:val="24"/>
        </w:rPr>
        <w:t xml:space="preserve"> et al. (2025) demuestra el costo de la falta de prevención ya que al no ofrecer cirugías de modificación corporal seguras en tiempo y forma la población trans se sintió empujada a procedimientos clandestinos con silicona </w:t>
      </w:r>
      <w:r>
        <w:rPr>
          <w:rFonts w:ascii="Arial" w:eastAsia="Arial" w:hAnsi="Arial" w:cs="Arial"/>
          <w:sz w:val="24"/>
          <w:szCs w:val="24"/>
        </w:rPr>
        <w:t>líquida</w:t>
      </w:r>
      <w:r>
        <w:rPr>
          <w:rFonts w:ascii="Arial" w:eastAsia="Arial" w:hAnsi="Arial" w:cs="Arial"/>
          <w:color w:val="000000"/>
          <w:sz w:val="24"/>
          <w:szCs w:val="24"/>
        </w:rPr>
        <w:t xml:space="preserve">, cuyas secuelas (infecciones graves, migraciones de material) requieren tratamientos de alta complejidad, múltiples intervenciones y largas internaciones. Desde una perspectiva de gestión, una cirugía programada resulta </w:t>
      </w:r>
      <w:r>
        <w:rPr>
          <w:rFonts w:ascii="Arial" w:eastAsia="Arial" w:hAnsi="Arial" w:cs="Arial"/>
          <w:sz w:val="24"/>
          <w:szCs w:val="24"/>
        </w:rPr>
        <w:t>más</w:t>
      </w:r>
      <w:r>
        <w:rPr>
          <w:rFonts w:ascii="Arial" w:eastAsia="Arial" w:hAnsi="Arial" w:cs="Arial"/>
          <w:color w:val="000000"/>
          <w:sz w:val="24"/>
          <w:szCs w:val="24"/>
        </w:rPr>
        <w:t xml:space="preserve"> costo-efectiva. Entonces, el modelo de los CI, al prio</w:t>
      </w:r>
      <w:r>
        <w:rPr>
          <w:rFonts w:ascii="Arial" w:eastAsia="Arial" w:hAnsi="Arial" w:cs="Arial"/>
          <w:color w:val="000000"/>
          <w:sz w:val="24"/>
          <w:szCs w:val="24"/>
        </w:rPr>
        <w:t xml:space="preserve">rizar un enfoque preventivo y reducción de daños futuros es una estrategia superior en términos de eficacia y eficiencia de utilización de recursos. </w:t>
      </w:r>
    </w:p>
    <w:p w14:paraId="5672B094" w14:textId="77777777" w:rsidR="002232E6" w:rsidRPr="00D8002E" w:rsidRDefault="00501254" w:rsidP="00D8002E">
      <w:pPr>
        <w:pStyle w:val="Heading1"/>
        <w:jc w:val="left"/>
        <w:rPr>
          <w:u w:val="none"/>
        </w:rPr>
      </w:pPr>
      <w:bookmarkStart w:id="24" w:name="_heading=h.279x0zrxqtqa" w:colFirst="0" w:colLast="0"/>
      <w:bookmarkEnd w:id="24"/>
      <w:r w:rsidRPr="00D8002E">
        <w:rPr>
          <w:u w:val="none"/>
        </w:rPr>
        <w:lastRenderedPageBreak/>
        <w:t>Conclusiones:</w:t>
      </w:r>
    </w:p>
    <w:p w14:paraId="08ED0F96"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Esta investigación permitió analizar en profundidad el funcionamiento de los Consultorios Inclusivos (CI) de la Provincia de Buenos Aires remarcando su efectividad, pero también sus limitaciones. Basado en todo lo desarrollado se concluye que estos centros han cumplido con su objetivo principal, como política de acción afirmativa, de reducir las barreras de acceso al sistema de salud para la comunidad trans, pero enfrentan desafíos estructurales que ponen en riesgo la sostenibilidad a largo plazo. </w:t>
      </w:r>
    </w:p>
    <w:p w14:paraId="097B9D9A" w14:textId="77069BEC"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Esto es confirmado por las investigaciones que dejan en evidencia que se logró disminuir significativamente las barreras simbólicas </w:t>
      </w:r>
      <w:r w:rsidR="00490815">
        <w:rPr>
          <w:rFonts w:ascii="Arial" w:eastAsia="Arial" w:hAnsi="Arial" w:cs="Arial"/>
          <w:color w:val="000000"/>
          <w:sz w:val="24"/>
          <w:szCs w:val="24"/>
        </w:rPr>
        <w:t xml:space="preserve">que </w:t>
      </w:r>
      <w:r>
        <w:rPr>
          <w:rFonts w:ascii="Arial" w:eastAsia="Arial" w:hAnsi="Arial" w:cs="Arial"/>
          <w:color w:val="000000"/>
          <w:sz w:val="24"/>
          <w:szCs w:val="24"/>
        </w:rPr>
        <w:t xml:space="preserve">históricamente expulsaron a la comunidad trans. La mejora en las condiciones de trato, el uso del nombre social y el respeto de la identidad de género auto percibida revirtió décadas de desconfianza en el sistema de salud cumpliendo con la función esencial de </w:t>
      </w:r>
      <w:r w:rsidR="00490815">
        <w:rPr>
          <w:rFonts w:ascii="Arial" w:eastAsia="Arial" w:hAnsi="Arial" w:cs="Arial"/>
          <w:sz w:val="24"/>
          <w:szCs w:val="24"/>
        </w:rPr>
        <w:t>revincularse</w:t>
      </w:r>
      <w:r>
        <w:rPr>
          <w:rFonts w:ascii="Arial" w:eastAsia="Arial" w:hAnsi="Arial" w:cs="Arial"/>
          <w:color w:val="000000"/>
          <w:sz w:val="24"/>
          <w:szCs w:val="24"/>
        </w:rPr>
        <w:t xml:space="preserve"> con la comunidad trans. También, fueron efectivos en reducir las barreras organizacionales ya que actúan como puerta de entrada a la atención de salud </w:t>
      </w:r>
      <w:r w:rsidR="00436F63">
        <w:rPr>
          <w:rFonts w:ascii="Arial" w:eastAsia="Arial" w:hAnsi="Arial" w:cs="Arial"/>
          <w:color w:val="000000"/>
          <w:sz w:val="24"/>
          <w:szCs w:val="24"/>
        </w:rPr>
        <w:t>y, utilizando</w:t>
      </w:r>
      <w:r>
        <w:rPr>
          <w:rFonts w:ascii="Arial" w:eastAsia="Arial" w:hAnsi="Arial" w:cs="Arial"/>
          <w:color w:val="000000"/>
          <w:sz w:val="24"/>
          <w:szCs w:val="24"/>
        </w:rPr>
        <w:t xml:space="preserve"> estrategias como la compra centralizada de hormonas</w:t>
      </w:r>
      <w:r w:rsidR="00805F75">
        <w:rPr>
          <w:rFonts w:ascii="Arial" w:eastAsia="Arial" w:hAnsi="Arial" w:cs="Arial"/>
          <w:color w:val="000000"/>
          <w:sz w:val="24"/>
          <w:szCs w:val="24"/>
        </w:rPr>
        <w:t>,</w:t>
      </w:r>
      <w:r>
        <w:rPr>
          <w:rFonts w:ascii="Arial" w:eastAsia="Arial" w:hAnsi="Arial" w:cs="Arial"/>
          <w:color w:val="000000"/>
          <w:sz w:val="24"/>
          <w:szCs w:val="24"/>
        </w:rPr>
        <w:t xml:space="preserve"> lograron aumentar</w:t>
      </w:r>
      <w:r>
        <w:rPr>
          <w:rFonts w:ascii="Arial" w:eastAsia="Arial" w:hAnsi="Arial" w:cs="Arial"/>
          <w:color w:val="000000"/>
          <w:sz w:val="24"/>
          <w:szCs w:val="24"/>
        </w:rPr>
        <w:t xml:space="preserve"> la adherencia a los tratamientos. </w:t>
      </w:r>
    </w:p>
    <w:p w14:paraId="6659C195"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No obstante, este modelo presenta múltiples debilidades </w:t>
      </w:r>
      <w:r>
        <w:rPr>
          <w:rFonts w:ascii="Arial" w:eastAsia="Arial" w:hAnsi="Arial" w:cs="Arial"/>
          <w:sz w:val="24"/>
          <w:szCs w:val="24"/>
        </w:rPr>
        <w:t>críticas</w:t>
      </w:r>
      <w:r>
        <w:rPr>
          <w:rFonts w:ascii="Arial" w:eastAsia="Arial" w:hAnsi="Arial" w:cs="Arial"/>
          <w:color w:val="000000"/>
          <w:sz w:val="24"/>
          <w:szCs w:val="24"/>
        </w:rPr>
        <w:t xml:space="preserve"> que afectan el futuro de los centros inclusivos.</w:t>
      </w:r>
    </w:p>
    <w:p w14:paraId="1C646A84" w14:textId="62800383"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Primero, como desarrolla </w:t>
      </w:r>
      <w:proofErr w:type="spellStart"/>
      <w:r>
        <w:rPr>
          <w:rFonts w:ascii="Arial" w:eastAsia="Arial" w:hAnsi="Arial" w:cs="Arial"/>
          <w:color w:val="000000"/>
          <w:sz w:val="24"/>
          <w:szCs w:val="24"/>
        </w:rPr>
        <w:t>Darouiche</w:t>
      </w:r>
      <w:proofErr w:type="spellEnd"/>
      <w:r>
        <w:rPr>
          <w:rFonts w:ascii="Arial" w:eastAsia="Arial" w:hAnsi="Arial" w:cs="Arial"/>
          <w:color w:val="000000"/>
          <w:sz w:val="24"/>
          <w:szCs w:val="24"/>
        </w:rPr>
        <w:t xml:space="preserve"> et al. (2025) y que desarroll</w:t>
      </w:r>
      <w:r w:rsidR="00436F63">
        <w:rPr>
          <w:rFonts w:ascii="Arial" w:eastAsia="Arial" w:hAnsi="Arial" w:cs="Arial"/>
          <w:color w:val="000000"/>
          <w:sz w:val="24"/>
          <w:szCs w:val="24"/>
        </w:rPr>
        <w:t xml:space="preserve">é </w:t>
      </w:r>
      <w:r>
        <w:rPr>
          <w:rFonts w:ascii="Arial" w:eastAsia="Arial" w:hAnsi="Arial" w:cs="Arial"/>
          <w:color w:val="000000"/>
          <w:sz w:val="24"/>
          <w:szCs w:val="24"/>
        </w:rPr>
        <w:t xml:space="preserve">previamente la dependencia en la “Gestión Informal”, </w:t>
      </w:r>
      <w:r w:rsidR="00436F63">
        <w:rPr>
          <w:rFonts w:ascii="Arial" w:eastAsia="Arial" w:hAnsi="Arial" w:cs="Arial"/>
          <w:color w:val="000000"/>
          <w:sz w:val="24"/>
          <w:szCs w:val="24"/>
        </w:rPr>
        <w:t>es decir</w:t>
      </w:r>
      <w:r>
        <w:rPr>
          <w:rFonts w:ascii="Arial" w:eastAsia="Arial" w:hAnsi="Arial" w:cs="Arial"/>
          <w:color w:val="000000"/>
          <w:sz w:val="24"/>
          <w:szCs w:val="24"/>
        </w:rPr>
        <w:t xml:space="preserve"> que la operatividad de los CI no </w:t>
      </w:r>
      <w:r>
        <w:rPr>
          <w:rFonts w:ascii="Arial" w:eastAsia="Arial" w:hAnsi="Arial" w:cs="Arial"/>
          <w:sz w:val="24"/>
          <w:szCs w:val="24"/>
        </w:rPr>
        <w:t>esté</w:t>
      </w:r>
      <w:r>
        <w:rPr>
          <w:rFonts w:ascii="Arial" w:eastAsia="Arial" w:hAnsi="Arial" w:cs="Arial"/>
          <w:color w:val="000000"/>
          <w:sz w:val="24"/>
          <w:szCs w:val="24"/>
        </w:rPr>
        <w:t xml:space="preserve"> sustentada en procesos institucionalizados, sino en la voluntad de los profesionales que actúan como gestores sin conocimiento. Las </w:t>
      </w:r>
      <w:r>
        <w:rPr>
          <w:rFonts w:ascii="Arial" w:eastAsia="Arial" w:hAnsi="Arial" w:cs="Arial"/>
          <w:sz w:val="24"/>
          <w:szCs w:val="24"/>
        </w:rPr>
        <w:t>prácticas</w:t>
      </w:r>
      <w:r>
        <w:rPr>
          <w:rFonts w:ascii="Arial" w:eastAsia="Arial" w:hAnsi="Arial" w:cs="Arial"/>
          <w:color w:val="000000"/>
          <w:sz w:val="24"/>
          <w:szCs w:val="24"/>
        </w:rPr>
        <w:t xml:space="preserve"> ad-hoc (los contactos informales para turnos, el intercambio informal de insumos, etc.) resuelven los problemas inmediatos para los pacientes, pero generan una fragilidad organizacional. Desde la perspectiva de la gestión esto formula una falla mayor: la garantía de un derecho constitucional (al acceso a la salud) y también garantizado por la Ley de Identidad de </w:t>
      </w:r>
      <w:r>
        <w:rPr>
          <w:rFonts w:ascii="Arial" w:eastAsia="Arial" w:hAnsi="Arial" w:cs="Arial"/>
          <w:sz w:val="24"/>
          <w:szCs w:val="24"/>
        </w:rPr>
        <w:t>géne</w:t>
      </w:r>
      <w:r>
        <w:rPr>
          <w:rFonts w:ascii="Arial" w:eastAsia="Arial" w:hAnsi="Arial" w:cs="Arial"/>
          <w:sz w:val="24"/>
          <w:szCs w:val="24"/>
        </w:rPr>
        <w:t>ro</w:t>
      </w:r>
      <w:r>
        <w:rPr>
          <w:rFonts w:ascii="Arial" w:eastAsia="Arial" w:hAnsi="Arial" w:cs="Arial"/>
          <w:color w:val="000000"/>
          <w:sz w:val="24"/>
          <w:szCs w:val="24"/>
        </w:rPr>
        <w:t xml:space="preserve"> (el acceso a tratamientos de transición de </w:t>
      </w:r>
      <w:r>
        <w:rPr>
          <w:rFonts w:ascii="Arial" w:eastAsia="Arial" w:hAnsi="Arial" w:cs="Arial"/>
          <w:sz w:val="24"/>
          <w:szCs w:val="24"/>
        </w:rPr>
        <w:t>género</w:t>
      </w:r>
      <w:r>
        <w:rPr>
          <w:rFonts w:ascii="Arial" w:eastAsia="Arial" w:hAnsi="Arial" w:cs="Arial"/>
          <w:color w:val="000000"/>
          <w:sz w:val="24"/>
          <w:szCs w:val="24"/>
        </w:rPr>
        <w:t xml:space="preserve">) </w:t>
      </w:r>
      <w:r>
        <w:rPr>
          <w:rFonts w:ascii="Arial" w:eastAsia="Arial" w:hAnsi="Arial" w:cs="Arial"/>
          <w:color w:val="000000"/>
          <w:sz w:val="24"/>
          <w:szCs w:val="24"/>
        </w:rPr>
        <w:lastRenderedPageBreak/>
        <w:t xml:space="preserve">no puede depender de la voluntad de una persona que podría llegar a renunciar o jubilarse y debería depender de procesos y circuitos de atención estandarizados. </w:t>
      </w:r>
    </w:p>
    <w:p w14:paraId="53570752"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Segundo, se identificó una desconexión entre la gestión y las demandas reales de la población. Mientras el sistema prioriza la </w:t>
      </w:r>
      <w:proofErr w:type="spellStart"/>
      <w:r>
        <w:rPr>
          <w:rFonts w:ascii="Arial" w:eastAsia="Arial" w:hAnsi="Arial" w:cs="Arial"/>
          <w:sz w:val="24"/>
          <w:szCs w:val="24"/>
        </w:rPr>
        <w:t>hormonización</w:t>
      </w:r>
      <w:proofErr w:type="spellEnd"/>
      <w:r>
        <w:rPr>
          <w:rFonts w:ascii="Arial" w:eastAsia="Arial" w:hAnsi="Arial" w:cs="Arial"/>
          <w:color w:val="000000"/>
          <w:sz w:val="24"/>
          <w:szCs w:val="24"/>
        </w:rPr>
        <w:t xml:space="preserve"> (que es un tratamiento de baja complejidad), existe un </w:t>
      </w:r>
      <w:r>
        <w:rPr>
          <w:rFonts w:ascii="Arial" w:eastAsia="Arial" w:hAnsi="Arial" w:cs="Arial"/>
          <w:sz w:val="24"/>
          <w:szCs w:val="24"/>
        </w:rPr>
        <w:t>vacío</w:t>
      </w:r>
      <w:r>
        <w:rPr>
          <w:rFonts w:ascii="Arial" w:eastAsia="Arial" w:hAnsi="Arial" w:cs="Arial"/>
          <w:color w:val="000000"/>
          <w:sz w:val="24"/>
          <w:szCs w:val="24"/>
        </w:rPr>
        <w:t xml:space="preserve"> en las prestaciones específicamente para atender las secuelas físicas que quedaron de décadas de exclusión del sistema de salud. Esto se ve en la investigación de </w:t>
      </w:r>
      <w:proofErr w:type="spellStart"/>
      <w:r>
        <w:rPr>
          <w:rFonts w:ascii="Arial" w:eastAsia="Arial" w:hAnsi="Arial" w:cs="Arial"/>
          <w:color w:val="000000"/>
          <w:sz w:val="24"/>
          <w:szCs w:val="24"/>
        </w:rPr>
        <w:t>Lupi</w:t>
      </w:r>
      <w:proofErr w:type="spellEnd"/>
      <w:r>
        <w:rPr>
          <w:rFonts w:ascii="Arial" w:eastAsia="Arial" w:hAnsi="Arial" w:cs="Arial"/>
          <w:color w:val="000000"/>
          <w:sz w:val="24"/>
          <w:szCs w:val="24"/>
        </w:rPr>
        <w:t xml:space="preserve"> et al. (2025) sobre las inyecciones ilegales de siliconas </w:t>
      </w:r>
      <w:r>
        <w:rPr>
          <w:rFonts w:ascii="Arial" w:eastAsia="Arial" w:hAnsi="Arial" w:cs="Arial"/>
          <w:sz w:val="24"/>
          <w:szCs w:val="24"/>
        </w:rPr>
        <w:t>líquidas</w:t>
      </w:r>
      <w:r>
        <w:rPr>
          <w:rFonts w:ascii="Arial" w:eastAsia="Arial" w:hAnsi="Arial" w:cs="Arial"/>
          <w:color w:val="000000"/>
          <w:sz w:val="24"/>
          <w:szCs w:val="24"/>
        </w:rPr>
        <w:t xml:space="preserve"> que gracias a una falta de planificación se genera una ineficiencia en el gasto </w:t>
      </w:r>
      <w:r>
        <w:rPr>
          <w:rFonts w:ascii="Arial" w:eastAsia="Arial" w:hAnsi="Arial" w:cs="Arial"/>
          <w:sz w:val="24"/>
          <w:szCs w:val="24"/>
        </w:rPr>
        <w:t>público</w:t>
      </w:r>
      <w:r>
        <w:rPr>
          <w:rFonts w:ascii="Arial" w:eastAsia="Arial" w:hAnsi="Arial" w:cs="Arial"/>
          <w:color w:val="000000"/>
          <w:sz w:val="24"/>
          <w:szCs w:val="24"/>
        </w:rPr>
        <w:t xml:space="preserve"> donde se destinan muchos recursos a tratamientos paliativos crónicos e internaciones repetidas en lugar de solucio</w:t>
      </w:r>
      <w:r>
        <w:rPr>
          <w:rFonts w:ascii="Arial" w:eastAsia="Arial" w:hAnsi="Arial" w:cs="Arial"/>
          <w:color w:val="000000"/>
          <w:sz w:val="24"/>
          <w:szCs w:val="24"/>
        </w:rPr>
        <w:t xml:space="preserve">nes resolutivas (como cirugías para remover el material). A todo esto, se le suma la brecha entre la Ley 26.743 y los mecanismos administrativos (como las </w:t>
      </w:r>
      <w:r>
        <w:rPr>
          <w:rFonts w:ascii="Arial" w:eastAsia="Arial" w:hAnsi="Arial" w:cs="Arial"/>
          <w:sz w:val="24"/>
          <w:szCs w:val="24"/>
        </w:rPr>
        <w:t>auditorías</w:t>
      </w:r>
      <w:r>
        <w:rPr>
          <w:rFonts w:ascii="Arial" w:eastAsia="Arial" w:hAnsi="Arial" w:cs="Arial"/>
          <w:color w:val="000000"/>
          <w:sz w:val="24"/>
          <w:szCs w:val="24"/>
        </w:rPr>
        <w:t xml:space="preserve"> y autorizaciones) que siguen operando bajo el modelo </w:t>
      </w:r>
      <w:proofErr w:type="spellStart"/>
      <w:r>
        <w:rPr>
          <w:rFonts w:ascii="Arial" w:eastAsia="Arial" w:hAnsi="Arial" w:cs="Arial"/>
          <w:color w:val="000000"/>
          <w:sz w:val="24"/>
          <w:szCs w:val="24"/>
        </w:rPr>
        <w:t>patologizante</w:t>
      </w:r>
      <w:proofErr w:type="spellEnd"/>
      <w:r>
        <w:rPr>
          <w:rFonts w:ascii="Arial" w:eastAsia="Arial" w:hAnsi="Arial" w:cs="Arial"/>
          <w:color w:val="000000"/>
          <w:sz w:val="24"/>
          <w:szCs w:val="24"/>
        </w:rPr>
        <w:t xml:space="preserve"> que </w:t>
      </w:r>
      <w:r>
        <w:rPr>
          <w:rFonts w:ascii="Arial" w:eastAsia="Arial" w:hAnsi="Arial" w:cs="Arial"/>
          <w:sz w:val="24"/>
          <w:szCs w:val="24"/>
        </w:rPr>
        <w:t>llevará</w:t>
      </w:r>
      <w:r>
        <w:rPr>
          <w:rFonts w:ascii="Arial" w:eastAsia="Arial" w:hAnsi="Arial" w:cs="Arial"/>
          <w:color w:val="000000"/>
          <w:sz w:val="24"/>
          <w:szCs w:val="24"/>
        </w:rPr>
        <w:t xml:space="preserve"> a un impulso de la judicialización de la salud generando </w:t>
      </w:r>
      <w:r>
        <w:rPr>
          <w:rFonts w:ascii="Arial" w:eastAsia="Arial" w:hAnsi="Arial" w:cs="Arial"/>
          <w:sz w:val="24"/>
          <w:szCs w:val="24"/>
        </w:rPr>
        <w:t>más</w:t>
      </w:r>
      <w:r>
        <w:rPr>
          <w:rFonts w:ascii="Arial" w:eastAsia="Arial" w:hAnsi="Arial" w:cs="Arial"/>
          <w:color w:val="000000"/>
          <w:sz w:val="24"/>
          <w:szCs w:val="24"/>
        </w:rPr>
        <w:t xml:space="preserve"> costos administrativos evitables. </w:t>
      </w:r>
    </w:p>
    <w:p w14:paraId="4CC0A590"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Finalmente, se concluye que los CI en su formato actual tienen el riesgo de </w:t>
      </w:r>
      <w:r>
        <w:rPr>
          <w:rFonts w:ascii="Arial" w:eastAsia="Arial" w:hAnsi="Arial" w:cs="Arial"/>
          <w:sz w:val="24"/>
          <w:szCs w:val="24"/>
        </w:rPr>
        <w:t>generar</w:t>
      </w:r>
      <w:r>
        <w:rPr>
          <w:rFonts w:ascii="Arial" w:eastAsia="Arial" w:hAnsi="Arial" w:cs="Arial"/>
          <w:color w:val="000000"/>
          <w:sz w:val="24"/>
          <w:szCs w:val="24"/>
        </w:rPr>
        <w:t xml:space="preserve"> un modelo de “Inclusión segregada” ya que funcionan como islas de derechos dentro del sistema de salud que en áreas generales (como guardias, internación y administración) se continúan reproduciendo </w:t>
      </w:r>
      <w:r>
        <w:rPr>
          <w:rFonts w:ascii="Arial" w:eastAsia="Arial" w:hAnsi="Arial" w:cs="Arial"/>
          <w:sz w:val="24"/>
          <w:szCs w:val="24"/>
        </w:rPr>
        <w:t>prácticas</w:t>
      </w:r>
      <w:r>
        <w:rPr>
          <w:rFonts w:ascii="Arial" w:eastAsia="Arial" w:hAnsi="Arial" w:cs="Arial"/>
          <w:color w:val="000000"/>
          <w:sz w:val="24"/>
          <w:szCs w:val="24"/>
        </w:rPr>
        <w:t xml:space="preserve"> expulsivas. La falta de un cambio transversal en la cultura organizacional a una </w:t>
      </w:r>
      <w:r>
        <w:rPr>
          <w:rFonts w:ascii="Arial" w:eastAsia="Arial" w:hAnsi="Arial" w:cs="Arial"/>
          <w:sz w:val="24"/>
          <w:szCs w:val="24"/>
        </w:rPr>
        <w:t>más</w:t>
      </w:r>
      <w:r>
        <w:rPr>
          <w:rFonts w:ascii="Arial" w:eastAsia="Arial" w:hAnsi="Arial" w:cs="Arial"/>
          <w:color w:val="000000"/>
          <w:sz w:val="24"/>
          <w:szCs w:val="24"/>
        </w:rPr>
        <w:t xml:space="preserve"> inclusiva resulta en este sistema fragmentado donde la calidad de atención es aleatoria. </w:t>
      </w:r>
    </w:p>
    <w:p w14:paraId="159C57D0" w14:textId="77777777" w:rsidR="002232E6" w:rsidRDefault="002232E6" w:rsidP="00D8002E">
      <w:pPr>
        <w:spacing w:line="360" w:lineRule="auto"/>
        <w:jc w:val="both"/>
        <w:rPr>
          <w:rFonts w:ascii="Arial" w:eastAsia="Arial" w:hAnsi="Arial" w:cs="Arial"/>
          <w:color w:val="EE0000"/>
          <w:sz w:val="24"/>
          <w:szCs w:val="24"/>
          <w:u w:val="single"/>
        </w:rPr>
      </w:pPr>
    </w:p>
    <w:p w14:paraId="29E17984" w14:textId="77777777" w:rsidR="002232E6"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Tomando todo esto en cuenta, se plantea una reingeniería del modelo para moverse de una acción afirmativa focalizada hacia una gestión integralmente inclusiva con las siguientes recomendaciones: </w:t>
      </w:r>
    </w:p>
    <w:p w14:paraId="49FF8436" w14:textId="65DC969B" w:rsidR="002232E6" w:rsidRDefault="00501254" w:rsidP="00D8002E">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Desde la gestión de RRHH la creación formal del rol de “Navegador Par” que </w:t>
      </w:r>
      <w:r>
        <w:rPr>
          <w:rFonts w:ascii="Arial" w:eastAsia="Arial" w:hAnsi="Arial" w:cs="Arial"/>
          <w:sz w:val="24"/>
          <w:szCs w:val="24"/>
        </w:rPr>
        <w:t>actuará</w:t>
      </w:r>
      <w:r>
        <w:rPr>
          <w:rFonts w:ascii="Arial" w:eastAsia="Arial" w:hAnsi="Arial" w:cs="Arial"/>
          <w:color w:val="000000"/>
          <w:sz w:val="24"/>
          <w:szCs w:val="24"/>
        </w:rPr>
        <w:t xml:space="preserve"> como promotor/a de la salud </w:t>
      </w:r>
      <w:r>
        <w:rPr>
          <w:rFonts w:ascii="Arial" w:eastAsia="Arial" w:hAnsi="Arial" w:cs="Arial"/>
          <w:sz w:val="24"/>
          <w:szCs w:val="24"/>
        </w:rPr>
        <w:t>avalado</w:t>
      </w:r>
      <w:r>
        <w:rPr>
          <w:rFonts w:ascii="Arial" w:eastAsia="Arial" w:hAnsi="Arial" w:cs="Arial"/>
          <w:color w:val="000000"/>
          <w:sz w:val="24"/>
          <w:szCs w:val="24"/>
        </w:rPr>
        <w:t xml:space="preserve"> por los pacientes. Basado en la evidencia de </w:t>
      </w:r>
      <w:proofErr w:type="spellStart"/>
      <w:r>
        <w:rPr>
          <w:rFonts w:ascii="Arial" w:eastAsia="Arial" w:hAnsi="Arial" w:cs="Arial"/>
          <w:color w:val="000000"/>
          <w:sz w:val="24"/>
          <w:szCs w:val="24"/>
        </w:rPr>
        <w:t>Vissicchio</w:t>
      </w:r>
      <w:proofErr w:type="spellEnd"/>
      <w:r>
        <w:rPr>
          <w:rFonts w:ascii="Arial" w:eastAsia="Arial" w:hAnsi="Arial" w:cs="Arial"/>
          <w:color w:val="000000"/>
          <w:sz w:val="24"/>
          <w:szCs w:val="24"/>
        </w:rPr>
        <w:t xml:space="preserve"> et al. (202</w:t>
      </w:r>
      <w:r w:rsidR="00C0655D">
        <w:rPr>
          <w:rFonts w:ascii="Arial" w:eastAsia="Arial" w:hAnsi="Arial" w:cs="Arial"/>
          <w:color w:val="000000"/>
          <w:sz w:val="24"/>
          <w:szCs w:val="24"/>
        </w:rPr>
        <w:t>2</w:t>
      </w:r>
      <w:r>
        <w:rPr>
          <w:rFonts w:ascii="Arial" w:eastAsia="Arial" w:hAnsi="Arial" w:cs="Arial"/>
          <w:color w:val="000000"/>
          <w:sz w:val="24"/>
          <w:szCs w:val="24"/>
        </w:rPr>
        <w:t>) este rol debería tener funciones claras:</w:t>
      </w:r>
    </w:p>
    <w:p w14:paraId="6A7FDB7D" w14:textId="77777777" w:rsidR="002232E6" w:rsidRDefault="00501254" w:rsidP="00D8002E">
      <w:pPr>
        <w:numPr>
          <w:ilvl w:val="1"/>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Gestionar los turnos necesarios para los pacientes para evitar las filas y barreras burocráticas que persisten.</w:t>
      </w:r>
    </w:p>
    <w:p w14:paraId="46143C60" w14:textId="77777777" w:rsidR="002232E6" w:rsidRDefault="00501254" w:rsidP="00D8002E">
      <w:pPr>
        <w:numPr>
          <w:ilvl w:val="1"/>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lastRenderedPageBreak/>
        <w:t>Asistir con el empadronamiento y gestionar las autorizaciones de tratamientos y medicamentos.</w:t>
      </w:r>
    </w:p>
    <w:p w14:paraId="115D1348" w14:textId="77777777" w:rsidR="002232E6" w:rsidRDefault="00501254" w:rsidP="00D8002E">
      <w:pPr>
        <w:numPr>
          <w:ilvl w:val="1"/>
          <w:numId w:val="4"/>
        </w:numPr>
        <w:pBdr>
          <w:top w:val="nil"/>
          <w:left w:val="nil"/>
          <w:bottom w:val="nil"/>
          <w:right w:val="nil"/>
          <w:between w:val="nil"/>
        </w:pBdr>
        <w:spacing w:line="360" w:lineRule="auto"/>
        <w:jc w:val="both"/>
        <w:rPr>
          <w:rFonts w:ascii="Arial" w:eastAsia="Arial" w:hAnsi="Arial" w:cs="Arial"/>
          <w:color w:val="000000"/>
          <w:sz w:val="24"/>
          <w:szCs w:val="24"/>
        </w:rPr>
      </w:pPr>
      <w:r>
        <w:rPr>
          <w:rFonts w:ascii="Arial" w:eastAsia="Arial" w:hAnsi="Arial" w:cs="Arial"/>
          <w:color w:val="000000"/>
          <w:sz w:val="24"/>
          <w:szCs w:val="24"/>
        </w:rPr>
        <w:t>Llevar a cabo un monitoreo de las situaciones de discriminación generando reportes de mejora, con la función de detectar barreras que podrían presentarse</w:t>
      </w:r>
    </w:p>
    <w:p w14:paraId="3AB973EB" w14:textId="77777777" w:rsidR="002232E6" w:rsidRDefault="00501254" w:rsidP="00D8002E">
      <w:pPr>
        <w:spacing w:line="360" w:lineRule="auto"/>
        <w:ind w:left="1080"/>
        <w:jc w:val="both"/>
        <w:rPr>
          <w:rFonts w:ascii="Arial" w:eastAsia="Arial" w:hAnsi="Arial" w:cs="Arial"/>
          <w:color w:val="000000"/>
          <w:sz w:val="24"/>
          <w:szCs w:val="24"/>
        </w:rPr>
      </w:pPr>
      <w:r>
        <w:rPr>
          <w:rFonts w:ascii="Arial" w:eastAsia="Arial" w:hAnsi="Arial" w:cs="Arial"/>
          <w:color w:val="000000"/>
          <w:sz w:val="24"/>
          <w:szCs w:val="24"/>
        </w:rPr>
        <w:t xml:space="preserve">Todo esto será con la función de liberar a los profesionales de la salud de las tareas de gestión que estaban tomando para poder aumentar la productividad del servicio de atención. </w:t>
      </w:r>
    </w:p>
    <w:p w14:paraId="77A0D223" w14:textId="6A3737A9" w:rsidR="002232E6" w:rsidRDefault="00501254" w:rsidP="00D8002E">
      <w:pPr>
        <w:numPr>
          <w:ilvl w:val="0"/>
          <w:numId w:val="4"/>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 xml:space="preserve">Protocolización de los tratamientos de Alta Complejidad, donde se le insistirá al Ministerio de Salud que se diseñen Guías de Práctica Clínica (con un enfoque en la Provincia de Buenos Aires) para el manejo interdisciplinario de las complicaciones generadas por las inyecciones de siliconas </w:t>
      </w:r>
      <w:r>
        <w:rPr>
          <w:rFonts w:ascii="Arial" w:eastAsia="Arial" w:hAnsi="Arial" w:cs="Arial"/>
          <w:sz w:val="24"/>
          <w:szCs w:val="24"/>
        </w:rPr>
        <w:t>líquidas</w:t>
      </w:r>
      <w:r>
        <w:rPr>
          <w:rFonts w:ascii="Arial" w:eastAsia="Arial" w:hAnsi="Arial" w:cs="Arial"/>
          <w:color w:val="000000"/>
          <w:sz w:val="24"/>
          <w:szCs w:val="24"/>
        </w:rPr>
        <w:t xml:space="preserve">. Además, se crearían unidades de referencia integradas por referentes de Infectología, Cirugía plástica y Cuidados Paliativos con criterios claros para el tratamiento y derivación de pacientes. Esto se haría como respuesta a la demanda insatisfecha que existe y también como estrategia de reducción de costos por reingresos y tratamientos crónicos ineficaces. </w:t>
      </w:r>
      <w:r w:rsidR="00D305A6">
        <w:rPr>
          <w:rFonts w:ascii="Arial" w:eastAsia="Arial" w:hAnsi="Arial" w:cs="Arial"/>
          <w:color w:val="000000"/>
          <w:sz w:val="24"/>
          <w:szCs w:val="24"/>
        </w:rPr>
        <w:t xml:space="preserve">Finalmente, esta estrategia responde </w:t>
      </w:r>
      <w:r w:rsidR="008856EB">
        <w:rPr>
          <w:rFonts w:ascii="Arial" w:eastAsia="Arial" w:hAnsi="Arial" w:cs="Arial"/>
          <w:color w:val="000000"/>
          <w:sz w:val="24"/>
          <w:szCs w:val="24"/>
        </w:rPr>
        <w:t xml:space="preserve">al vacío asistencial que reporta </w:t>
      </w:r>
      <w:proofErr w:type="spellStart"/>
      <w:r w:rsidR="009E3168">
        <w:rPr>
          <w:rFonts w:ascii="Arial" w:eastAsia="Arial" w:hAnsi="Arial" w:cs="Arial"/>
          <w:color w:val="000000"/>
          <w:sz w:val="24"/>
          <w:szCs w:val="24"/>
        </w:rPr>
        <w:t>Lupi</w:t>
      </w:r>
      <w:proofErr w:type="spellEnd"/>
      <w:r w:rsidR="009E3168">
        <w:rPr>
          <w:rFonts w:ascii="Arial" w:eastAsia="Arial" w:hAnsi="Arial" w:cs="Arial"/>
          <w:color w:val="000000"/>
          <w:sz w:val="24"/>
          <w:szCs w:val="24"/>
        </w:rPr>
        <w:t xml:space="preserve"> et al. (2025)</w:t>
      </w:r>
    </w:p>
    <w:p w14:paraId="6FAA8BC3" w14:textId="0344717B" w:rsidR="002232E6" w:rsidRDefault="00501254" w:rsidP="00D8002E">
      <w:pPr>
        <w:numPr>
          <w:ilvl w:val="0"/>
          <w:numId w:val="4"/>
        </w:numPr>
        <w:pBdr>
          <w:top w:val="nil"/>
          <w:left w:val="nil"/>
          <w:bottom w:val="nil"/>
          <w:right w:val="nil"/>
          <w:between w:val="nil"/>
        </w:pBdr>
        <w:spacing w:line="360" w:lineRule="auto"/>
        <w:jc w:val="both"/>
        <w:rPr>
          <w:rFonts w:ascii="Arial" w:eastAsia="Arial" w:hAnsi="Arial" w:cs="Arial"/>
          <w:color w:val="000000"/>
          <w:sz w:val="24"/>
          <w:szCs w:val="24"/>
        </w:rPr>
      </w:pPr>
      <w:r>
        <w:rPr>
          <w:rFonts w:ascii="Arial" w:eastAsia="Arial" w:hAnsi="Arial" w:cs="Arial"/>
          <w:color w:val="000000"/>
          <w:sz w:val="24"/>
          <w:szCs w:val="24"/>
        </w:rPr>
        <w:t>Finalmente, se recomienda eliminar el carácter optativo de las capacitaciones inclusivas y establecer un programa de formación en trato digno y diversidad como requisito obligatorio para todo el personal de la salud (sea administrativo o asistencial). Esto se hará para poder garantizar la calidad de atención en todos los centros de salud, eliminando la necesidad de los espacios segregados de atención a largo plazo y reduciendo la fragmentación del sistema de salud.</w:t>
      </w:r>
      <w:r w:rsidR="00A662D7">
        <w:rPr>
          <w:rFonts w:ascii="Arial" w:eastAsia="Arial" w:hAnsi="Arial" w:cs="Arial"/>
          <w:color w:val="000000"/>
          <w:sz w:val="24"/>
          <w:szCs w:val="24"/>
        </w:rPr>
        <w:t xml:space="preserve"> Además, </w:t>
      </w:r>
      <w:r w:rsidR="009F38FC">
        <w:rPr>
          <w:rFonts w:ascii="Arial" w:eastAsia="Arial" w:hAnsi="Arial" w:cs="Arial"/>
          <w:color w:val="000000"/>
          <w:sz w:val="24"/>
          <w:szCs w:val="24"/>
        </w:rPr>
        <w:t xml:space="preserve">mitiga las microagresiones y la falta de </w:t>
      </w:r>
      <w:r w:rsidR="001C0D0E">
        <w:rPr>
          <w:rFonts w:ascii="Arial" w:eastAsia="Arial" w:hAnsi="Arial" w:cs="Arial"/>
          <w:color w:val="000000"/>
          <w:sz w:val="24"/>
          <w:szCs w:val="24"/>
        </w:rPr>
        <w:t xml:space="preserve">capacitación detectadas por </w:t>
      </w:r>
      <w:r w:rsidR="009F38FC" w:rsidRPr="001C0D0E">
        <w:rPr>
          <w:rFonts w:ascii="Arial" w:eastAsia="Arial" w:hAnsi="Arial" w:cs="Arial"/>
          <w:color w:val="000000"/>
          <w:sz w:val="24"/>
          <w:szCs w:val="24"/>
        </w:rPr>
        <w:t>Bermúdez-Pozuelo et al. (2024)</w:t>
      </w:r>
      <w:r w:rsidR="001C0D0E">
        <w:rPr>
          <w:rFonts w:ascii="Arial" w:eastAsia="Arial" w:hAnsi="Arial" w:cs="Arial"/>
          <w:color w:val="000000"/>
          <w:sz w:val="24"/>
          <w:szCs w:val="24"/>
        </w:rPr>
        <w:t xml:space="preserve">. </w:t>
      </w:r>
    </w:p>
    <w:p w14:paraId="7DFD184E" w14:textId="6C16416B" w:rsidR="00F9656C" w:rsidRPr="00D8002E" w:rsidRDefault="00501254" w:rsidP="00D8002E">
      <w:pPr>
        <w:spacing w:line="360" w:lineRule="auto"/>
        <w:jc w:val="both"/>
        <w:rPr>
          <w:rFonts w:ascii="Arial" w:eastAsia="Arial" w:hAnsi="Arial" w:cs="Arial"/>
          <w:color w:val="000000"/>
          <w:sz w:val="24"/>
          <w:szCs w:val="24"/>
        </w:rPr>
      </w:pPr>
      <w:r>
        <w:rPr>
          <w:rFonts w:ascii="Arial" w:eastAsia="Arial" w:hAnsi="Arial" w:cs="Arial"/>
          <w:color w:val="000000"/>
          <w:sz w:val="24"/>
          <w:szCs w:val="24"/>
        </w:rPr>
        <w:t>En síntesis, para poder avanzar hacia una gestión de salud más inclusiva se deberá dejar de depender de prácticas informales y moverse hacia una estandarización de procesos que garanticen la inclusión no como excepción sino como una regla para todo el sistema de salud de la Provincia de Buenos Aires</w:t>
      </w:r>
    </w:p>
    <w:p w14:paraId="54953B15" w14:textId="77777777" w:rsidR="002232E6" w:rsidRDefault="00501254">
      <w:pPr>
        <w:pStyle w:val="Heading1"/>
      </w:pPr>
      <w:bookmarkStart w:id="25" w:name="_heading=h.jx8nwhvbyj9j" w:colFirst="0" w:colLast="0"/>
      <w:bookmarkEnd w:id="25"/>
      <w:r>
        <w:lastRenderedPageBreak/>
        <w:t>Bibliografía:</w:t>
      </w:r>
    </w:p>
    <w:p w14:paraId="7C087EB9" w14:textId="77777777" w:rsidR="002232E6" w:rsidRDefault="00501254">
      <w:pPr>
        <w:spacing w:line="360" w:lineRule="auto"/>
        <w:ind w:left="706" w:hanging="706"/>
        <w:rPr>
          <w:rFonts w:ascii="Arial" w:eastAsia="Arial" w:hAnsi="Arial" w:cs="Arial"/>
          <w:sz w:val="24"/>
          <w:szCs w:val="24"/>
        </w:rPr>
      </w:pPr>
      <w:r>
        <w:rPr>
          <w:rFonts w:ascii="Arial" w:eastAsia="Arial" w:hAnsi="Arial" w:cs="Arial"/>
          <w:sz w:val="24"/>
          <w:szCs w:val="24"/>
        </w:rPr>
        <w:t xml:space="preserve">Artazo, G. C. (2023). Experiencias de personas travestis/trans en el acceso a la salud mental integral en Córdoba, Argentina (2021-2023). </w:t>
      </w:r>
      <w:r>
        <w:rPr>
          <w:rFonts w:ascii="Arial" w:eastAsia="Arial" w:hAnsi="Arial" w:cs="Arial"/>
          <w:i/>
          <w:iCs/>
          <w:sz w:val="24"/>
          <w:szCs w:val="24"/>
        </w:rPr>
        <w:t>Palimpsesto</w:t>
      </w:r>
      <w:r>
        <w:rPr>
          <w:rFonts w:ascii="Arial" w:eastAsia="Arial" w:hAnsi="Arial" w:cs="Arial"/>
          <w:sz w:val="24"/>
          <w:szCs w:val="24"/>
        </w:rPr>
        <w:t xml:space="preserve">, 13(23), 106-124. </w:t>
      </w:r>
      <w:hyperlink r:id="rId9">
        <w:r w:rsidR="002232E6">
          <w:rPr>
            <w:rFonts w:ascii="Arial" w:eastAsia="Arial" w:hAnsi="Arial" w:cs="Arial"/>
            <w:color w:val="0563C1"/>
            <w:sz w:val="24"/>
            <w:szCs w:val="24"/>
            <w:u w:val="single"/>
          </w:rPr>
          <w:t>https://www.revistas.usach.cl/ojs/index.php/palimpsesto/article/view/6413</w:t>
        </w:r>
      </w:hyperlink>
      <w:r>
        <w:rPr>
          <w:rFonts w:ascii="Arial" w:eastAsia="Arial" w:hAnsi="Arial" w:cs="Arial"/>
          <w:sz w:val="24"/>
          <w:szCs w:val="24"/>
        </w:rPr>
        <w:t xml:space="preserve"> </w:t>
      </w:r>
    </w:p>
    <w:p w14:paraId="6CF28733" w14:textId="77777777" w:rsidR="002232E6" w:rsidRDefault="00501254">
      <w:pPr>
        <w:spacing w:line="360" w:lineRule="auto"/>
        <w:ind w:left="720" w:hanging="720"/>
        <w:rPr>
          <w:rFonts w:ascii="Arial" w:eastAsia="Arial" w:hAnsi="Arial" w:cs="Arial"/>
          <w:color w:val="0563C1"/>
          <w:sz w:val="24"/>
          <w:szCs w:val="24"/>
          <w:u w:val="single"/>
        </w:rPr>
      </w:pPr>
      <w:proofErr w:type="spellStart"/>
      <w:r>
        <w:rPr>
          <w:rFonts w:ascii="Arial" w:eastAsia="Arial" w:hAnsi="Arial" w:cs="Arial"/>
          <w:sz w:val="24"/>
          <w:szCs w:val="24"/>
        </w:rPr>
        <w:t>Allaria</w:t>
      </w:r>
      <w:proofErr w:type="spellEnd"/>
      <w:r>
        <w:rPr>
          <w:rFonts w:ascii="Arial" w:eastAsia="Arial" w:hAnsi="Arial" w:cs="Arial"/>
          <w:sz w:val="24"/>
          <w:szCs w:val="24"/>
        </w:rPr>
        <w:t xml:space="preserve"> Mena, J. y </w:t>
      </w:r>
      <w:proofErr w:type="spellStart"/>
      <w:r>
        <w:rPr>
          <w:rFonts w:ascii="Arial" w:eastAsia="Arial" w:hAnsi="Arial" w:cs="Arial"/>
          <w:sz w:val="24"/>
          <w:szCs w:val="24"/>
        </w:rPr>
        <w:t>Ostropolsky</w:t>
      </w:r>
      <w:proofErr w:type="spellEnd"/>
      <w:r>
        <w:rPr>
          <w:rFonts w:ascii="Arial" w:eastAsia="Arial" w:hAnsi="Arial" w:cs="Arial"/>
          <w:sz w:val="24"/>
          <w:szCs w:val="24"/>
        </w:rPr>
        <w:t xml:space="preserve">, M. (2023) </w:t>
      </w:r>
      <w:r>
        <w:rPr>
          <w:rFonts w:ascii="Arial" w:eastAsia="Arial" w:hAnsi="Arial" w:cs="Arial"/>
          <w:i/>
          <w:iCs/>
          <w:sz w:val="24"/>
          <w:szCs w:val="24"/>
        </w:rPr>
        <w:t>Guía de Acceso al Derecho a la Salud Integral LGBTI+</w:t>
      </w:r>
      <w:r>
        <w:rPr>
          <w:rFonts w:ascii="Arial" w:eastAsia="Arial" w:hAnsi="Arial" w:cs="Arial"/>
          <w:sz w:val="24"/>
          <w:szCs w:val="24"/>
        </w:rPr>
        <w:t xml:space="preserve"> Dirección de Géneros y Diversidad. </w:t>
      </w:r>
      <w:hyperlink r:id="rId10">
        <w:r w:rsidR="002232E6">
          <w:rPr>
            <w:rFonts w:ascii="Arial" w:eastAsia="Arial" w:hAnsi="Arial" w:cs="Arial"/>
            <w:color w:val="0563C1"/>
            <w:sz w:val="24"/>
            <w:szCs w:val="24"/>
            <w:u w:val="single"/>
          </w:rPr>
          <w:t>https://www.argentina.gob.ar/sites/default/files/2023/10/7_guiadesaludlgbti-web-v6.pdf</w:t>
        </w:r>
      </w:hyperlink>
    </w:p>
    <w:p w14:paraId="2F39A371" w14:textId="77777777" w:rsidR="002232E6" w:rsidRDefault="00501254">
      <w:pPr>
        <w:spacing w:line="360" w:lineRule="auto"/>
        <w:ind w:left="706" w:hanging="706"/>
        <w:rPr>
          <w:rFonts w:ascii="Arial" w:eastAsia="Arial" w:hAnsi="Arial" w:cs="Arial"/>
          <w:sz w:val="24"/>
          <w:szCs w:val="24"/>
        </w:rPr>
      </w:pPr>
      <w:r>
        <w:rPr>
          <w:rFonts w:ascii="Arial" w:eastAsia="Arial" w:hAnsi="Arial" w:cs="Arial"/>
          <w:sz w:val="24"/>
          <w:szCs w:val="24"/>
        </w:rPr>
        <w:t xml:space="preserve">Bermúdez-Pozuelo, L., Sordo del Castillo, L., </w:t>
      </w:r>
      <w:proofErr w:type="spellStart"/>
      <w:r>
        <w:rPr>
          <w:rFonts w:ascii="Arial" w:eastAsia="Arial" w:hAnsi="Arial" w:cs="Arial"/>
          <w:sz w:val="24"/>
          <w:szCs w:val="24"/>
        </w:rPr>
        <w:t>Belza</w:t>
      </w:r>
      <w:proofErr w:type="spellEnd"/>
      <w:r>
        <w:rPr>
          <w:rFonts w:ascii="Arial" w:eastAsia="Arial" w:hAnsi="Arial" w:cs="Arial"/>
          <w:sz w:val="24"/>
          <w:szCs w:val="24"/>
        </w:rPr>
        <w:t xml:space="preserve"> </w:t>
      </w:r>
      <w:proofErr w:type="spellStart"/>
      <w:r>
        <w:rPr>
          <w:rFonts w:ascii="Arial" w:eastAsia="Arial" w:hAnsi="Arial" w:cs="Arial"/>
          <w:sz w:val="24"/>
          <w:szCs w:val="24"/>
        </w:rPr>
        <w:t>Egozcue</w:t>
      </w:r>
      <w:proofErr w:type="spellEnd"/>
      <w:r>
        <w:rPr>
          <w:rFonts w:ascii="Arial" w:eastAsia="Arial" w:hAnsi="Arial" w:cs="Arial"/>
          <w:sz w:val="24"/>
          <w:szCs w:val="24"/>
        </w:rPr>
        <w:t>, M. J., &amp; Triviño Caballero, R. (2024</w:t>
      </w:r>
      <w:r>
        <w:rPr>
          <w:rFonts w:ascii="Arial" w:eastAsia="Arial" w:hAnsi="Arial" w:cs="Arial"/>
          <w:i/>
          <w:iCs/>
          <w:sz w:val="24"/>
          <w:szCs w:val="24"/>
        </w:rPr>
        <w:t xml:space="preserve">). </w:t>
      </w:r>
      <w:proofErr w:type="spellStart"/>
      <w:r>
        <w:rPr>
          <w:rFonts w:ascii="Arial" w:eastAsia="Arial" w:hAnsi="Arial" w:cs="Arial"/>
          <w:i/>
          <w:iCs/>
          <w:sz w:val="24"/>
          <w:szCs w:val="24"/>
        </w:rPr>
        <w:t>Healthcare</w:t>
      </w:r>
      <w:proofErr w:type="spellEnd"/>
      <w:r>
        <w:rPr>
          <w:rFonts w:ascii="Arial" w:eastAsia="Arial" w:hAnsi="Arial" w:cs="Arial"/>
          <w:i/>
          <w:iCs/>
          <w:sz w:val="24"/>
          <w:szCs w:val="24"/>
        </w:rPr>
        <w:t xml:space="preserve"> </w:t>
      </w:r>
      <w:proofErr w:type="spellStart"/>
      <w:r>
        <w:rPr>
          <w:rFonts w:ascii="Arial" w:eastAsia="Arial" w:hAnsi="Arial" w:cs="Arial"/>
          <w:i/>
          <w:iCs/>
          <w:sz w:val="24"/>
          <w:szCs w:val="24"/>
        </w:rPr>
        <w:t>for</w:t>
      </w:r>
      <w:proofErr w:type="spellEnd"/>
      <w:r>
        <w:rPr>
          <w:rFonts w:ascii="Arial" w:eastAsia="Arial" w:hAnsi="Arial" w:cs="Arial"/>
          <w:i/>
          <w:iCs/>
          <w:sz w:val="24"/>
          <w:szCs w:val="24"/>
        </w:rPr>
        <w:t xml:space="preserve"> </w:t>
      </w:r>
      <w:proofErr w:type="spellStart"/>
      <w:r>
        <w:rPr>
          <w:rFonts w:ascii="Arial" w:eastAsia="Arial" w:hAnsi="Arial" w:cs="Arial"/>
          <w:i/>
          <w:iCs/>
          <w:sz w:val="24"/>
          <w:szCs w:val="24"/>
        </w:rPr>
        <w:t>trans</w:t>
      </w:r>
      <w:proofErr w:type="spellEnd"/>
      <w:r>
        <w:rPr>
          <w:rFonts w:ascii="Arial" w:eastAsia="Arial" w:hAnsi="Arial" w:cs="Arial"/>
          <w:i/>
          <w:iCs/>
          <w:sz w:val="24"/>
          <w:szCs w:val="24"/>
        </w:rPr>
        <w:t xml:space="preserve"> </w:t>
      </w:r>
      <w:proofErr w:type="spellStart"/>
      <w:r>
        <w:rPr>
          <w:rFonts w:ascii="Arial" w:eastAsia="Arial" w:hAnsi="Arial" w:cs="Arial"/>
          <w:i/>
          <w:iCs/>
          <w:sz w:val="24"/>
          <w:szCs w:val="24"/>
        </w:rPr>
        <w:t>people</w:t>
      </w:r>
      <w:proofErr w:type="spellEnd"/>
      <w:r>
        <w:rPr>
          <w:rFonts w:ascii="Arial" w:eastAsia="Arial" w:hAnsi="Arial" w:cs="Arial"/>
          <w:i/>
          <w:iCs/>
          <w:sz w:val="24"/>
          <w:szCs w:val="24"/>
        </w:rPr>
        <w:t xml:space="preserve"> in </w:t>
      </w:r>
      <w:proofErr w:type="spellStart"/>
      <w:r>
        <w:rPr>
          <w:rFonts w:ascii="Arial" w:eastAsia="Arial" w:hAnsi="Arial" w:cs="Arial"/>
          <w:i/>
          <w:iCs/>
          <w:sz w:val="24"/>
          <w:szCs w:val="24"/>
        </w:rPr>
        <w:t>primary</w:t>
      </w:r>
      <w:proofErr w:type="spellEnd"/>
      <w:r>
        <w:rPr>
          <w:rFonts w:ascii="Arial" w:eastAsia="Arial" w:hAnsi="Arial" w:cs="Arial"/>
          <w:i/>
          <w:iCs/>
          <w:sz w:val="24"/>
          <w:szCs w:val="24"/>
        </w:rPr>
        <w:t xml:space="preserve"> </w:t>
      </w:r>
      <w:proofErr w:type="spellStart"/>
      <w:r>
        <w:rPr>
          <w:rFonts w:ascii="Arial" w:eastAsia="Arial" w:hAnsi="Arial" w:cs="Arial"/>
          <w:i/>
          <w:iCs/>
          <w:sz w:val="24"/>
          <w:szCs w:val="24"/>
        </w:rPr>
        <w:t>care</w:t>
      </w:r>
      <w:proofErr w:type="spellEnd"/>
      <w:r>
        <w:rPr>
          <w:rFonts w:ascii="Arial" w:eastAsia="Arial" w:hAnsi="Arial" w:cs="Arial"/>
          <w:i/>
          <w:iCs/>
          <w:sz w:val="24"/>
          <w:szCs w:val="24"/>
        </w:rPr>
        <w:t xml:space="preserve"> [Asistencia sanitaria a personas trans en Atención Primaria].</w:t>
      </w:r>
      <w:r>
        <w:rPr>
          <w:rFonts w:ascii="Arial" w:eastAsia="Arial" w:hAnsi="Arial" w:cs="Arial"/>
          <w:sz w:val="24"/>
          <w:szCs w:val="24"/>
        </w:rPr>
        <w:t xml:space="preserve"> </w:t>
      </w:r>
      <w:r>
        <w:rPr>
          <w:rFonts w:ascii="Arial" w:eastAsia="Arial" w:hAnsi="Arial" w:cs="Arial"/>
          <w:i/>
          <w:iCs/>
          <w:sz w:val="24"/>
          <w:szCs w:val="24"/>
        </w:rPr>
        <w:t>Medicina Clínica</w:t>
      </w:r>
      <w:r>
        <w:rPr>
          <w:rFonts w:ascii="Arial" w:eastAsia="Arial" w:hAnsi="Arial" w:cs="Arial"/>
          <w:sz w:val="24"/>
          <w:szCs w:val="24"/>
        </w:rPr>
        <w:t xml:space="preserve">, </w:t>
      </w:r>
      <w:r>
        <w:rPr>
          <w:rFonts w:ascii="Arial" w:eastAsia="Arial" w:hAnsi="Arial" w:cs="Arial"/>
          <w:i/>
          <w:iCs/>
          <w:sz w:val="24"/>
          <w:szCs w:val="24"/>
        </w:rPr>
        <w:t>163</w:t>
      </w:r>
      <w:r>
        <w:rPr>
          <w:rFonts w:ascii="Arial" w:eastAsia="Arial" w:hAnsi="Arial" w:cs="Arial"/>
          <w:sz w:val="24"/>
          <w:szCs w:val="24"/>
        </w:rPr>
        <w:t xml:space="preserve">(6), 253-259. </w:t>
      </w:r>
      <w:hyperlink r:id="rId11">
        <w:r w:rsidR="002232E6">
          <w:rPr>
            <w:rFonts w:ascii="Arial" w:eastAsia="Arial" w:hAnsi="Arial" w:cs="Arial"/>
            <w:color w:val="0563C1"/>
            <w:sz w:val="24"/>
            <w:szCs w:val="24"/>
            <w:u w:val="single"/>
          </w:rPr>
          <w:t>https://www.elsevier.es/es-revista-medicina-clinica-2-avance-resumen-asistencia-sanitaria-personas-trans-atencion-S0025775324001970</w:t>
        </w:r>
      </w:hyperlink>
      <w:r>
        <w:rPr>
          <w:rFonts w:ascii="Arial" w:eastAsia="Arial" w:hAnsi="Arial" w:cs="Arial"/>
          <w:sz w:val="24"/>
          <w:szCs w:val="24"/>
        </w:rPr>
        <w:t xml:space="preserve"> </w:t>
      </w:r>
    </w:p>
    <w:p w14:paraId="513FFFE4" w14:textId="77777777" w:rsidR="002232E6" w:rsidRDefault="00501254">
      <w:pPr>
        <w:spacing w:line="360" w:lineRule="auto"/>
        <w:ind w:left="706" w:hanging="706"/>
        <w:rPr>
          <w:rFonts w:ascii="Arial" w:eastAsia="Arial" w:hAnsi="Arial" w:cs="Arial"/>
          <w:sz w:val="24"/>
          <w:szCs w:val="24"/>
        </w:rPr>
      </w:pPr>
      <w:r>
        <w:rPr>
          <w:rFonts w:ascii="Arial" w:eastAsia="Arial" w:hAnsi="Arial" w:cs="Arial"/>
          <w:sz w:val="24"/>
          <w:szCs w:val="24"/>
        </w:rPr>
        <w:t xml:space="preserve">Bertone, M., et al. (2025). Barreras y estrategias para la accesibilidad a la salud de las personas trans en Córdoba, Argentina. </w:t>
      </w:r>
      <w:r>
        <w:rPr>
          <w:rFonts w:ascii="Arial" w:eastAsia="Arial" w:hAnsi="Arial" w:cs="Arial"/>
          <w:i/>
          <w:iCs/>
          <w:sz w:val="24"/>
          <w:szCs w:val="24"/>
        </w:rPr>
        <w:t>Salud Colectiva</w:t>
      </w:r>
      <w:r>
        <w:rPr>
          <w:rFonts w:ascii="Arial" w:eastAsia="Arial" w:hAnsi="Arial" w:cs="Arial"/>
          <w:sz w:val="24"/>
          <w:szCs w:val="24"/>
        </w:rPr>
        <w:t xml:space="preserve">, </w:t>
      </w:r>
      <w:r>
        <w:rPr>
          <w:rFonts w:ascii="Arial" w:eastAsia="Arial" w:hAnsi="Arial" w:cs="Arial"/>
          <w:i/>
          <w:iCs/>
          <w:sz w:val="24"/>
          <w:szCs w:val="24"/>
        </w:rPr>
        <w:t>21</w:t>
      </w:r>
      <w:r>
        <w:rPr>
          <w:rFonts w:ascii="Arial" w:eastAsia="Arial" w:hAnsi="Arial" w:cs="Arial"/>
          <w:sz w:val="24"/>
          <w:szCs w:val="24"/>
        </w:rPr>
        <w:t xml:space="preserve">, e5200. </w:t>
      </w:r>
      <w:hyperlink r:id="rId12">
        <w:r w:rsidR="002232E6">
          <w:rPr>
            <w:rFonts w:ascii="Arial" w:eastAsia="Arial" w:hAnsi="Arial" w:cs="Arial"/>
            <w:color w:val="0563C1"/>
            <w:sz w:val="24"/>
            <w:szCs w:val="24"/>
            <w:u w:val="single"/>
          </w:rPr>
          <w:t>https://www.scielosp.org/article/scol/2025.v21/e5200/</w:t>
        </w:r>
      </w:hyperlink>
      <w:r>
        <w:rPr>
          <w:rFonts w:ascii="Arial" w:eastAsia="Arial" w:hAnsi="Arial" w:cs="Arial"/>
          <w:sz w:val="24"/>
          <w:szCs w:val="24"/>
        </w:rPr>
        <w:t xml:space="preserve"> </w:t>
      </w:r>
    </w:p>
    <w:p w14:paraId="1F489F81" w14:textId="77777777" w:rsidR="002232E6" w:rsidRDefault="00501254">
      <w:pPr>
        <w:spacing w:line="360" w:lineRule="auto"/>
        <w:ind w:left="706" w:hanging="706"/>
        <w:rPr>
          <w:rFonts w:ascii="Arial" w:eastAsia="Arial" w:hAnsi="Arial" w:cs="Arial"/>
          <w:sz w:val="24"/>
          <w:szCs w:val="24"/>
        </w:rPr>
      </w:pPr>
      <w:proofErr w:type="spellStart"/>
      <w:r>
        <w:rPr>
          <w:rFonts w:ascii="Arial" w:eastAsia="Arial" w:hAnsi="Arial" w:cs="Arial"/>
          <w:sz w:val="24"/>
          <w:szCs w:val="24"/>
        </w:rPr>
        <w:t>Darouiche</w:t>
      </w:r>
      <w:proofErr w:type="spellEnd"/>
      <w:r>
        <w:rPr>
          <w:rFonts w:ascii="Arial" w:eastAsia="Arial" w:hAnsi="Arial" w:cs="Arial"/>
          <w:sz w:val="24"/>
          <w:szCs w:val="24"/>
        </w:rPr>
        <w:t xml:space="preserve">, C.A., </w:t>
      </w:r>
      <w:proofErr w:type="spellStart"/>
      <w:r>
        <w:rPr>
          <w:rFonts w:ascii="Arial" w:eastAsia="Arial" w:hAnsi="Arial" w:cs="Arial"/>
          <w:sz w:val="24"/>
          <w:szCs w:val="24"/>
        </w:rPr>
        <w:t>Pluchino</w:t>
      </w:r>
      <w:proofErr w:type="spellEnd"/>
      <w:r>
        <w:rPr>
          <w:rFonts w:ascii="Arial" w:eastAsia="Arial" w:hAnsi="Arial" w:cs="Arial"/>
          <w:sz w:val="24"/>
          <w:szCs w:val="24"/>
        </w:rPr>
        <w:t xml:space="preserve">, J.L., Della Vella, F.P. (2025). </w:t>
      </w:r>
      <w:r>
        <w:rPr>
          <w:rFonts w:ascii="Arial" w:eastAsia="Arial" w:hAnsi="Arial" w:cs="Arial"/>
          <w:i/>
          <w:iCs/>
          <w:sz w:val="24"/>
          <w:szCs w:val="24"/>
        </w:rPr>
        <w:t>De médicos, mediadores y gestores. El rol de los y las profesionales de la salud en la atención de la población LGTB+.</w:t>
      </w:r>
      <w:r>
        <w:rPr>
          <w:rFonts w:ascii="Arial" w:eastAsia="Arial" w:hAnsi="Arial" w:cs="Arial"/>
          <w:sz w:val="24"/>
          <w:szCs w:val="24"/>
        </w:rPr>
        <w:t xml:space="preserve"> Estudios Políticos (Universidad de Antioquia), 72, pp. 60-81. </w:t>
      </w:r>
      <w:hyperlink r:id="rId13">
        <w:r w:rsidR="002232E6">
          <w:rPr>
            <w:rFonts w:ascii="Arial" w:eastAsia="Arial" w:hAnsi="Arial" w:cs="Arial"/>
            <w:color w:val="0563C1"/>
            <w:sz w:val="24"/>
            <w:szCs w:val="24"/>
            <w:u w:val="single"/>
          </w:rPr>
          <w:t>https://doi.org/10.17533/udea.espo.n72a03</w:t>
        </w:r>
      </w:hyperlink>
    </w:p>
    <w:p w14:paraId="401BCAE4" w14:textId="77777777" w:rsidR="002232E6" w:rsidRDefault="00501254">
      <w:pPr>
        <w:spacing w:line="360" w:lineRule="auto"/>
        <w:ind w:left="706" w:hanging="706"/>
        <w:rPr>
          <w:rFonts w:ascii="Arial" w:eastAsia="Arial" w:hAnsi="Arial" w:cs="Arial"/>
          <w:sz w:val="24"/>
          <w:szCs w:val="24"/>
        </w:rPr>
      </w:pPr>
      <w:proofErr w:type="spellStart"/>
      <w:r>
        <w:rPr>
          <w:rFonts w:ascii="Arial" w:eastAsia="Arial" w:hAnsi="Arial" w:cs="Arial"/>
          <w:sz w:val="24"/>
          <w:szCs w:val="24"/>
        </w:rPr>
        <w:t>Dellacasa</w:t>
      </w:r>
      <w:proofErr w:type="spellEnd"/>
      <w:r>
        <w:rPr>
          <w:rFonts w:ascii="Arial" w:eastAsia="Arial" w:hAnsi="Arial" w:cs="Arial"/>
          <w:sz w:val="24"/>
          <w:szCs w:val="24"/>
        </w:rPr>
        <w:t xml:space="preserve">, M. A. (2023a). </w:t>
      </w:r>
      <w:r>
        <w:rPr>
          <w:rFonts w:ascii="Arial" w:eastAsia="Arial" w:hAnsi="Arial" w:cs="Arial"/>
          <w:i/>
          <w:iCs/>
          <w:sz w:val="24"/>
          <w:szCs w:val="24"/>
        </w:rPr>
        <w:t>Estrategias para favorecer el acceso a la atención de la salud de la población travesti y trans en Argentina. Una década de los consultorios amigables para la diversidad 2010-2020</w:t>
      </w:r>
      <w:r>
        <w:rPr>
          <w:rFonts w:ascii="Arial" w:eastAsia="Arial" w:hAnsi="Arial" w:cs="Arial"/>
          <w:sz w:val="24"/>
          <w:szCs w:val="24"/>
        </w:rPr>
        <w:t xml:space="preserve">. </w:t>
      </w:r>
      <w:proofErr w:type="spellStart"/>
      <w:r>
        <w:rPr>
          <w:rFonts w:ascii="Arial" w:eastAsia="Arial" w:hAnsi="Arial" w:cs="Arial"/>
          <w:sz w:val="24"/>
          <w:szCs w:val="24"/>
        </w:rPr>
        <w:t>Dellacasa</w:t>
      </w:r>
      <w:proofErr w:type="spellEnd"/>
      <w:r>
        <w:rPr>
          <w:rFonts w:ascii="Arial" w:eastAsia="Arial" w:hAnsi="Arial" w:cs="Arial"/>
          <w:sz w:val="24"/>
          <w:szCs w:val="24"/>
        </w:rPr>
        <w:t xml:space="preserve"> | Sudamérica: Revista De Ciencias Sociales. </w:t>
      </w:r>
      <w:hyperlink r:id="rId14">
        <w:r w:rsidR="002232E6">
          <w:rPr>
            <w:rFonts w:ascii="Arial" w:eastAsia="Arial" w:hAnsi="Arial" w:cs="Arial"/>
            <w:color w:val="0563C1"/>
            <w:sz w:val="24"/>
            <w:szCs w:val="24"/>
            <w:u w:val="single"/>
          </w:rPr>
          <w:t>https://fh.mdp.edu.ar/revistas/index.php/sudamerica/article/view/6495/7321</w:t>
        </w:r>
      </w:hyperlink>
    </w:p>
    <w:p w14:paraId="05435B0F" w14:textId="77777777" w:rsidR="002232E6" w:rsidRDefault="00501254">
      <w:pPr>
        <w:spacing w:line="360" w:lineRule="auto"/>
        <w:ind w:left="706" w:hanging="706"/>
        <w:rPr>
          <w:rFonts w:ascii="Arial" w:eastAsia="Arial" w:hAnsi="Arial" w:cs="Arial"/>
          <w:sz w:val="24"/>
          <w:szCs w:val="24"/>
        </w:rPr>
      </w:pPr>
      <w:proofErr w:type="spellStart"/>
      <w:r>
        <w:rPr>
          <w:rFonts w:ascii="Arial" w:eastAsia="Arial" w:hAnsi="Arial" w:cs="Arial"/>
          <w:sz w:val="24"/>
          <w:szCs w:val="24"/>
        </w:rPr>
        <w:t>Dellacasa</w:t>
      </w:r>
      <w:proofErr w:type="spellEnd"/>
      <w:r>
        <w:rPr>
          <w:rFonts w:ascii="Arial" w:eastAsia="Arial" w:hAnsi="Arial" w:cs="Arial"/>
          <w:sz w:val="24"/>
          <w:szCs w:val="24"/>
        </w:rPr>
        <w:t xml:space="preserve">, M. A. (2023b). Legislación y acciones afirmativas para la población trans. Un balance a diez años de la ley identidad de género en </w:t>
      </w:r>
      <w:r>
        <w:rPr>
          <w:rFonts w:ascii="Arial" w:eastAsia="Arial" w:hAnsi="Arial" w:cs="Arial"/>
          <w:sz w:val="24"/>
          <w:szCs w:val="24"/>
        </w:rPr>
        <w:lastRenderedPageBreak/>
        <w:t>Argentina. </w:t>
      </w:r>
      <w:r>
        <w:rPr>
          <w:rFonts w:ascii="Arial" w:eastAsia="Arial" w:hAnsi="Arial" w:cs="Arial"/>
          <w:i/>
          <w:iCs/>
          <w:sz w:val="24"/>
          <w:szCs w:val="24"/>
        </w:rPr>
        <w:t>Papeles</w:t>
      </w:r>
      <w:r>
        <w:rPr>
          <w:rFonts w:ascii="Arial" w:eastAsia="Arial" w:hAnsi="Arial" w:cs="Arial"/>
          <w:sz w:val="24"/>
          <w:szCs w:val="24"/>
        </w:rPr>
        <w:t>, </w:t>
      </w:r>
      <w:r>
        <w:rPr>
          <w:rFonts w:ascii="Arial" w:eastAsia="Arial" w:hAnsi="Arial" w:cs="Arial"/>
          <w:i/>
          <w:iCs/>
          <w:sz w:val="24"/>
          <w:szCs w:val="24"/>
        </w:rPr>
        <w:t>17</w:t>
      </w:r>
      <w:r>
        <w:rPr>
          <w:rFonts w:ascii="Arial" w:eastAsia="Arial" w:hAnsi="Arial" w:cs="Arial"/>
          <w:sz w:val="24"/>
          <w:szCs w:val="24"/>
        </w:rPr>
        <w:t>(27), e0045. </w:t>
      </w:r>
      <w:hyperlink r:id="rId15">
        <w:r w:rsidR="002232E6">
          <w:rPr>
            <w:rFonts w:ascii="Arial" w:eastAsia="Arial" w:hAnsi="Arial" w:cs="Arial"/>
            <w:color w:val="0563C1"/>
            <w:sz w:val="24"/>
            <w:szCs w:val="24"/>
            <w:u w:val="single"/>
          </w:rPr>
          <w:t>https://doi.org/10.14409/pc.2023.27.e0045</w:t>
        </w:r>
      </w:hyperlink>
    </w:p>
    <w:p w14:paraId="0408F3D8" w14:textId="77777777" w:rsidR="002232E6" w:rsidRDefault="00501254">
      <w:pPr>
        <w:spacing w:line="360" w:lineRule="auto"/>
        <w:ind w:left="706" w:hanging="706"/>
        <w:rPr>
          <w:rFonts w:ascii="Arial" w:eastAsia="Arial" w:hAnsi="Arial" w:cs="Arial"/>
          <w:color w:val="000000"/>
          <w:sz w:val="24"/>
          <w:szCs w:val="24"/>
        </w:rPr>
      </w:pPr>
      <w:r>
        <w:rPr>
          <w:rFonts w:ascii="Arial" w:eastAsia="Arial" w:hAnsi="Arial" w:cs="Arial"/>
          <w:sz w:val="24"/>
          <w:szCs w:val="24"/>
        </w:rPr>
        <w:t>Ley 26.</w:t>
      </w:r>
      <w:r>
        <w:rPr>
          <w:rFonts w:ascii="Arial" w:eastAsia="Arial" w:hAnsi="Arial" w:cs="Arial"/>
          <w:color w:val="000000"/>
          <w:sz w:val="24"/>
          <w:szCs w:val="24"/>
        </w:rPr>
        <w:t xml:space="preserve">743 de 2012. </w:t>
      </w:r>
      <w:proofErr w:type="spellStart"/>
      <w:r>
        <w:rPr>
          <w:rFonts w:ascii="Arial" w:eastAsia="Arial" w:hAnsi="Arial" w:cs="Arial"/>
          <w:color w:val="000000"/>
          <w:sz w:val="24"/>
          <w:szCs w:val="24"/>
        </w:rPr>
        <w:t>Establécese</w:t>
      </w:r>
      <w:proofErr w:type="spellEnd"/>
      <w:r>
        <w:rPr>
          <w:rFonts w:ascii="Arial" w:eastAsia="Arial" w:hAnsi="Arial" w:cs="Arial"/>
          <w:color w:val="000000"/>
          <w:sz w:val="24"/>
          <w:szCs w:val="24"/>
        </w:rPr>
        <w:t xml:space="preserve"> el derecho a la identidad de género de las personas Mayo 23 de 2012 </w:t>
      </w:r>
      <w:hyperlink r:id="rId16">
        <w:r w:rsidR="002232E6">
          <w:rPr>
            <w:rFonts w:ascii="Arial" w:eastAsia="Arial" w:hAnsi="Arial" w:cs="Arial"/>
            <w:color w:val="0563C1"/>
            <w:sz w:val="24"/>
            <w:szCs w:val="24"/>
            <w:u w:val="single"/>
          </w:rPr>
          <w:t>https://servicios.infoleg.gob.ar/infolegInternet/anexos/195000-199999/197860/texact.htm</w:t>
        </w:r>
      </w:hyperlink>
      <w:r>
        <w:rPr>
          <w:rFonts w:ascii="Arial" w:eastAsia="Arial" w:hAnsi="Arial" w:cs="Arial"/>
          <w:color w:val="000000"/>
          <w:sz w:val="24"/>
          <w:szCs w:val="24"/>
        </w:rPr>
        <w:t xml:space="preserve"> </w:t>
      </w:r>
    </w:p>
    <w:p w14:paraId="667F4B15" w14:textId="77777777" w:rsidR="002232E6" w:rsidRDefault="00501254">
      <w:pPr>
        <w:spacing w:line="360" w:lineRule="auto"/>
        <w:ind w:left="706" w:hanging="706"/>
        <w:rPr>
          <w:rFonts w:ascii="Arial" w:eastAsia="Arial" w:hAnsi="Arial" w:cs="Arial"/>
          <w:sz w:val="24"/>
          <w:szCs w:val="24"/>
        </w:rPr>
      </w:pPr>
      <w:proofErr w:type="spellStart"/>
      <w:r>
        <w:rPr>
          <w:rFonts w:ascii="Arial" w:eastAsia="Arial" w:hAnsi="Arial" w:cs="Arial"/>
          <w:sz w:val="24"/>
          <w:szCs w:val="24"/>
        </w:rPr>
        <w:t>Lupi</w:t>
      </w:r>
      <w:proofErr w:type="spellEnd"/>
      <w:r>
        <w:rPr>
          <w:rFonts w:ascii="Arial" w:eastAsia="Arial" w:hAnsi="Arial" w:cs="Arial"/>
          <w:sz w:val="24"/>
          <w:szCs w:val="24"/>
        </w:rPr>
        <w:t xml:space="preserve"> C, Bruno DP, </w:t>
      </w:r>
      <w:proofErr w:type="spellStart"/>
      <w:r>
        <w:rPr>
          <w:rFonts w:ascii="Arial" w:eastAsia="Arial" w:hAnsi="Arial" w:cs="Arial"/>
          <w:sz w:val="24"/>
          <w:szCs w:val="24"/>
        </w:rPr>
        <w:t>Salusso</w:t>
      </w:r>
      <w:proofErr w:type="spellEnd"/>
      <w:r>
        <w:rPr>
          <w:rFonts w:ascii="Arial" w:eastAsia="Arial" w:hAnsi="Arial" w:cs="Arial"/>
          <w:sz w:val="24"/>
          <w:szCs w:val="24"/>
        </w:rPr>
        <w:t xml:space="preserve"> DD, </w:t>
      </w:r>
      <w:proofErr w:type="spellStart"/>
      <w:r>
        <w:rPr>
          <w:rFonts w:ascii="Arial" w:eastAsia="Arial" w:hAnsi="Arial" w:cs="Arial"/>
          <w:sz w:val="24"/>
          <w:szCs w:val="24"/>
        </w:rPr>
        <w:t>Panizoni</w:t>
      </w:r>
      <w:proofErr w:type="spellEnd"/>
      <w:r>
        <w:rPr>
          <w:rFonts w:ascii="Arial" w:eastAsia="Arial" w:hAnsi="Arial" w:cs="Arial"/>
          <w:sz w:val="24"/>
          <w:szCs w:val="24"/>
        </w:rPr>
        <w:t xml:space="preserve"> E, Weitz L, Valeriano C, Aristegui I. (2025) </w:t>
      </w:r>
      <w:r>
        <w:rPr>
          <w:rFonts w:ascii="Arial" w:eastAsia="Arial" w:hAnsi="Arial" w:cs="Arial"/>
          <w:i/>
          <w:iCs/>
          <w:sz w:val="24"/>
          <w:szCs w:val="24"/>
        </w:rPr>
        <w:t xml:space="preserve">Abordaje del uso y las complicaciones de las siliconas líquidas inyectables en población travesti y trans: experiencias de profesionales de la salud del Área Metropolitana de Buenos Aires, Argentina. </w:t>
      </w:r>
      <w:r>
        <w:rPr>
          <w:rFonts w:ascii="Arial" w:eastAsia="Arial" w:hAnsi="Arial" w:cs="Arial"/>
          <w:sz w:val="24"/>
          <w:szCs w:val="24"/>
        </w:rPr>
        <w:t xml:space="preserve">Salud Colectiva. 2025;21:e5202. </w:t>
      </w:r>
      <w:hyperlink r:id="rId17">
        <w:r w:rsidR="002232E6">
          <w:rPr>
            <w:rFonts w:ascii="Arial" w:eastAsia="Arial" w:hAnsi="Arial" w:cs="Arial"/>
            <w:color w:val="0563C1"/>
            <w:sz w:val="24"/>
            <w:szCs w:val="24"/>
            <w:u w:val="single"/>
          </w:rPr>
          <w:t>https://revistas.unla.edu.ar/saludcolectiva/article/view/5202</w:t>
        </w:r>
      </w:hyperlink>
    </w:p>
    <w:p w14:paraId="3C704583" w14:textId="77777777" w:rsidR="002232E6" w:rsidRDefault="00501254">
      <w:pPr>
        <w:spacing w:line="360" w:lineRule="auto"/>
        <w:ind w:left="706" w:hanging="706"/>
        <w:rPr>
          <w:rFonts w:ascii="Arial" w:eastAsia="Arial" w:hAnsi="Arial" w:cs="Arial"/>
          <w:color w:val="0563C1"/>
          <w:sz w:val="24"/>
          <w:szCs w:val="24"/>
          <w:u w:val="single"/>
        </w:rPr>
      </w:pPr>
      <w:bookmarkStart w:id="26" w:name="_heading=h.5mu903267214" w:colFirst="0" w:colLast="0"/>
      <w:bookmarkEnd w:id="26"/>
      <w:proofErr w:type="spellStart"/>
      <w:r>
        <w:rPr>
          <w:rFonts w:ascii="Arial" w:eastAsia="Arial" w:hAnsi="Arial" w:cs="Arial"/>
          <w:sz w:val="24"/>
          <w:szCs w:val="24"/>
        </w:rPr>
        <w:t>Manzelli</w:t>
      </w:r>
      <w:proofErr w:type="spellEnd"/>
      <w:r>
        <w:rPr>
          <w:rFonts w:ascii="Arial" w:eastAsia="Arial" w:hAnsi="Arial" w:cs="Arial"/>
          <w:sz w:val="24"/>
          <w:szCs w:val="24"/>
        </w:rPr>
        <w:t xml:space="preserve"> H., Marentes M., Matus A., </w:t>
      </w:r>
      <w:proofErr w:type="spellStart"/>
      <w:r>
        <w:rPr>
          <w:rFonts w:ascii="Arial" w:eastAsia="Arial" w:hAnsi="Arial" w:cs="Arial"/>
          <w:sz w:val="24"/>
          <w:szCs w:val="24"/>
        </w:rPr>
        <w:t>Navallo</w:t>
      </w:r>
      <w:proofErr w:type="spellEnd"/>
      <w:r>
        <w:rPr>
          <w:rFonts w:ascii="Arial" w:eastAsia="Arial" w:hAnsi="Arial" w:cs="Arial"/>
          <w:sz w:val="24"/>
          <w:szCs w:val="24"/>
        </w:rPr>
        <w:t xml:space="preserve"> L., </w:t>
      </w:r>
      <w:proofErr w:type="spellStart"/>
      <w:r>
        <w:rPr>
          <w:rFonts w:ascii="Arial" w:eastAsia="Arial" w:hAnsi="Arial" w:cs="Arial"/>
          <w:sz w:val="24"/>
          <w:szCs w:val="24"/>
        </w:rPr>
        <w:t>Rabbia</w:t>
      </w:r>
      <w:proofErr w:type="spellEnd"/>
      <w:r>
        <w:rPr>
          <w:rFonts w:ascii="Arial" w:eastAsia="Arial" w:hAnsi="Arial" w:cs="Arial"/>
          <w:sz w:val="24"/>
          <w:szCs w:val="24"/>
        </w:rPr>
        <w:t xml:space="preserve"> H.H., Manuel R., Fernández A.S. (2023). </w:t>
      </w:r>
      <w:r>
        <w:rPr>
          <w:rFonts w:ascii="Arial" w:eastAsia="Arial" w:hAnsi="Arial" w:cs="Arial"/>
          <w:i/>
          <w:iCs/>
          <w:sz w:val="24"/>
          <w:szCs w:val="24"/>
        </w:rPr>
        <w:t xml:space="preserve">Primer relevamiento nacional de condiciones de vida de la diversidad sexual y genérica en la Argentina </w:t>
      </w:r>
      <w:hyperlink r:id="rId18">
        <w:r w:rsidR="002232E6">
          <w:rPr>
            <w:rFonts w:ascii="Arial" w:eastAsia="Arial" w:hAnsi="Arial" w:cs="Arial"/>
            <w:color w:val="0563C1"/>
            <w:sz w:val="24"/>
            <w:szCs w:val="24"/>
            <w:u w:val="single"/>
          </w:rPr>
          <w:t>https://censodiversidad.ar/docs/Informe-CensoDiversidad.pdf</w:t>
        </w:r>
      </w:hyperlink>
    </w:p>
    <w:p w14:paraId="3A27871C" w14:textId="77777777" w:rsidR="002232E6" w:rsidRDefault="00501254">
      <w:pPr>
        <w:spacing w:line="360" w:lineRule="auto"/>
        <w:ind w:left="706" w:hanging="706"/>
        <w:rPr>
          <w:rFonts w:ascii="Arial" w:eastAsia="Arial" w:hAnsi="Arial" w:cs="Arial"/>
          <w:sz w:val="24"/>
          <w:szCs w:val="24"/>
        </w:rPr>
      </w:pPr>
      <w:r>
        <w:rPr>
          <w:rFonts w:ascii="Arial" w:eastAsia="Arial" w:hAnsi="Arial" w:cs="Arial"/>
          <w:sz w:val="24"/>
          <w:szCs w:val="24"/>
        </w:rPr>
        <w:t xml:space="preserve">Ministerio de las Mujeres, Políticas de Género y Diversidad Sexual de la Provincia de Buenos Aires. (2025). </w:t>
      </w:r>
      <w:r>
        <w:rPr>
          <w:rFonts w:ascii="Arial" w:eastAsia="Arial" w:hAnsi="Arial" w:cs="Arial"/>
          <w:i/>
          <w:iCs/>
          <w:sz w:val="24"/>
          <w:szCs w:val="24"/>
        </w:rPr>
        <w:t xml:space="preserve">Informe de Gestión 2024. </w:t>
      </w:r>
      <w:r>
        <w:rPr>
          <w:rFonts w:ascii="Arial" w:eastAsia="Arial" w:hAnsi="Arial" w:cs="Arial"/>
          <w:sz w:val="24"/>
          <w:szCs w:val="24"/>
        </w:rPr>
        <w:t xml:space="preserve"> </w:t>
      </w:r>
      <w:hyperlink r:id="rId19">
        <w:r w:rsidR="002232E6">
          <w:rPr>
            <w:rFonts w:ascii="Arial" w:eastAsia="Arial" w:hAnsi="Arial" w:cs="Arial"/>
            <w:color w:val="0563C1"/>
            <w:sz w:val="24"/>
            <w:szCs w:val="24"/>
            <w:u w:val="single"/>
          </w:rPr>
          <w:t>https://ministeriodelasmujeres.gba.gob.ar/gestor/uploads/Informe%20de%20Gesti%C3%B3n%202024.pdf</w:t>
        </w:r>
      </w:hyperlink>
      <w:r>
        <w:rPr>
          <w:rFonts w:ascii="Arial" w:eastAsia="Arial" w:hAnsi="Arial" w:cs="Arial"/>
          <w:sz w:val="24"/>
          <w:szCs w:val="24"/>
        </w:rPr>
        <w:t xml:space="preserve"> </w:t>
      </w:r>
    </w:p>
    <w:p w14:paraId="197712D1" w14:textId="77777777" w:rsidR="002232E6" w:rsidRDefault="00501254">
      <w:pPr>
        <w:spacing w:line="360" w:lineRule="auto"/>
        <w:ind w:left="706" w:hanging="706"/>
        <w:rPr>
          <w:rFonts w:ascii="Arial" w:eastAsia="Arial" w:hAnsi="Arial" w:cs="Arial"/>
          <w:sz w:val="24"/>
          <w:szCs w:val="24"/>
        </w:rPr>
      </w:pPr>
      <w:r>
        <w:rPr>
          <w:rFonts w:ascii="Arial" w:eastAsia="Arial" w:hAnsi="Arial" w:cs="Arial"/>
          <w:sz w:val="24"/>
          <w:szCs w:val="24"/>
        </w:rPr>
        <w:t xml:space="preserve">Ministerio de Salud de la Provincia de Buenos Aires. (2021). </w:t>
      </w:r>
      <w:r>
        <w:rPr>
          <w:rFonts w:ascii="Arial" w:eastAsia="Arial" w:hAnsi="Arial" w:cs="Arial"/>
          <w:i/>
          <w:iCs/>
          <w:sz w:val="24"/>
          <w:szCs w:val="24"/>
        </w:rPr>
        <w:t>Informe de Gestión 2021: Programa Provincial de Implementación de Políticas de Género y Diversidad Sexual en Salud.</w:t>
      </w:r>
      <w:r>
        <w:rPr>
          <w:rFonts w:ascii="Arial" w:eastAsia="Arial" w:hAnsi="Arial" w:cs="Arial"/>
          <w:sz w:val="24"/>
          <w:szCs w:val="24"/>
        </w:rPr>
        <w:t xml:space="preserve"> Dirección de Equidad de Género en Salud. </w:t>
      </w:r>
      <w:hyperlink r:id="rId20">
        <w:r w:rsidR="002232E6">
          <w:rPr>
            <w:rFonts w:ascii="Arial" w:eastAsia="Arial" w:hAnsi="Arial" w:cs="Arial"/>
            <w:color w:val="0563C1"/>
            <w:sz w:val="24"/>
            <w:szCs w:val="24"/>
            <w:u w:val="single"/>
          </w:rPr>
          <w:t>https://www.ms.gba.gov.ar/sitios/generoydiversidad/wp-content/uploads/sites/216/2023/12/INFORME-GESTION-2021-DIVERSIDAD.pdf</w:t>
        </w:r>
      </w:hyperlink>
      <w:r>
        <w:rPr>
          <w:rFonts w:ascii="Arial" w:eastAsia="Arial" w:hAnsi="Arial" w:cs="Arial"/>
          <w:sz w:val="24"/>
          <w:szCs w:val="24"/>
        </w:rPr>
        <w:t xml:space="preserve"> </w:t>
      </w:r>
    </w:p>
    <w:p w14:paraId="0819A702" w14:textId="77777777" w:rsidR="002232E6" w:rsidRDefault="00501254">
      <w:pPr>
        <w:spacing w:line="360" w:lineRule="auto"/>
        <w:ind w:left="708" w:hanging="708"/>
        <w:rPr>
          <w:rFonts w:ascii="Arial" w:eastAsia="Arial" w:hAnsi="Arial" w:cs="Arial"/>
          <w:sz w:val="24"/>
          <w:szCs w:val="24"/>
        </w:rPr>
      </w:pPr>
      <w:r>
        <w:rPr>
          <w:rFonts w:ascii="Arial" w:eastAsia="Arial" w:hAnsi="Arial" w:cs="Arial"/>
          <w:sz w:val="24"/>
          <w:szCs w:val="24"/>
        </w:rPr>
        <w:t xml:space="preserve">Ministerio Público de la Defensa de la Ciudad Autónoma de Buenos Aires. (2017). </w:t>
      </w:r>
      <w:r>
        <w:rPr>
          <w:rFonts w:ascii="Arial" w:eastAsia="Arial" w:hAnsi="Arial" w:cs="Arial"/>
          <w:i/>
          <w:iCs/>
          <w:sz w:val="24"/>
          <w:szCs w:val="24"/>
        </w:rPr>
        <w:t xml:space="preserve">La Revolución de las Mariposas: A diez años de La Gesta del Nombre </w:t>
      </w:r>
      <w:r>
        <w:rPr>
          <w:rFonts w:ascii="Arial" w:eastAsia="Arial" w:hAnsi="Arial" w:cs="Arial"/>
          <w:i/>
          <w:iCs/>
          <w:sz w:val="24"/>
          <w:szCs w:val="24"/>
        </w:rPr>
        <w:lastRenderedPageBreak/>
        <w:t>Propio</w:t>
      </w:r>
      <w:r>
        <w:rPr>
          <w:rFonts w:ascii="Arial" w:eastAsia="Arial" w:hAnsi="Arial" w:cs="Arial"/>
          <w:sz w:val="24"/>
          <w:szCs w:val="24"/>
        </w:rPr>
        <w:t xml:space="preserve">. </w:t>
      </w:r>
      <w:hyperlink r:id="rId21">
        <w:r w:rsidR="002232E6">
          <w:rPr>
            <w:rFonts w:ascii="Arial" w:eastAsia="Arial" w:hAnsi="Arial" w:cs="Arial"/>
            <w:color w:val="0563C1"/>
            <w:sz w:val="24"/>
            <w:szCs w:val="24"/>
            <w:u w:val="single"/>
          </w:rPr>
          <w:t>https://www.algec.org/wp-content/uploads/2017/09/la_revolucion_de_las_mariposas.pdf</w:t>
        </w:r>
      </w:hyperlink>
    </w:p>
    <w:p w14:paraId="5B28AB5A" w14:textId="77777777" w:rsidR="002232E6" w:rsidRDefault="00501254">
      <w:pPr>
        <w:spacing w:line="360" w:lineRule="auto"/>
        <w:ind w:left="706" w:hanging="706"/>
        <w:rPr>
          <w:rFonts w:ascii="Arial" w:eastAsia="Arial" w:hAnsi="Arial" w:cs="Arial"/>
          <w:sz w:val="24"/>
          <w:szCs w:val="24"/>
        </w:rPr>
      </w:pPr>
      <w:r>
        <w:rPr>
          <w:rFonts w:ascii="Arial" w:eastAsia="Arial" w:hAnsi="Arial" w:cs="Arial"/>
          <w:sz w:val="24"/>
          <w:szCs w:val="24"/>
        </w:rPr>
        <w:t xml:space="preserve">Organización Panamericana de la Salud (OPS). (2024). </w:t>
      </w:r>
      <w:proofErr w:type="spellStart"/>
      <w:r>
        <w:rPr>
          <w:rFonts w:ascii="Arial" w:eastAsia="Arial" w:hAnsi="Arial" w:cs="Arial"/>
          <w:i/>
          <w:iCs/>
          <w:sz w:val="24"/>
          <w:szCs w:val="24"/>
        </w:rPr>
        <w:t>Guideline</w:t>
      </w:r>
      <w:proofErr w:type="spellEnd"/>
      <w:r>
        <w:rPr>
          <w:rFonts w:ascii="Arial" w:eastAsia="Arial" w:hAnsi="Arial" w:cs="Arial"/>
          <w:i/>
          <w:iCs/>
          <w:sz w:val="24"/>
          <w:szCs w:val="24"/>
        </w:rPr>
        <w:t xml:space="preserve"> </w:t>
      </w:r>
      <w:proofErr w:type="spellStart"/>
      <w:r>
        <w:rPr>
          <w:rFonts w:ascii="Arial" w:eastAsia="Arial" w:hAnsi="Arial" w:cs="Arial"/>
          <w:i/>
          <w:iCs/>
          <w:sz w:val="24"/>
          <w:szCs w:val="24"/>
        </w:rPr>
        <w:t>on</w:t>
      </w:r>
      <w:proofErr w:type="spellEnd"/>
      <w:r>
        <w:rPr>
          <w:rFonts w:ascii="Arial" w:eastAsia="Arial" w:hAnsi="Arial" w:cs="Arial"/>
          <w:i/>
          <w:iCs/>
          <w:sz w:val="24"/>
          <w:szCs w:val="24"/>
        </w:rPr>
        <w:t xml:space="preserve"> </w:t>
      </w:r>
      <w:proofErr w:type="spellStart"/>
      <w:r>
        <w:rPr>
          <w:rFonts w:ascii="Arial" w:eastAsia="Arial" w:hAnsi="Arial" w:cs="Arial"/>
          <w:i/>
          <w:iCs/>
          <w:sz w:val="24"/>
          <w:szCs w:val="24"/>
        </w:rPr>
        <w:t>the</w:t>
      </w:r>
      <w:proofErr w:type="spellEnd"/>
      <w:r>
        <w:rPr>
          <w:rFonts w:ascii="Arial" w:eastAsia="Arial" w:hAnsi="Arial" w:cs="Arial"/>
          <w:i/>
          <w:iCs/>
          <w:sz w:val="24"/>
          <w:szCs w:val="24"/>
        </w:rPr>
        <w:t xml:space="preserve"> </w:t>
      </w:r>
      <w:proofErr w:type="spellStart"/>
      <w:r>
        <w:rPr>
          <w:rFonts w:ascii="Arial" w:eastAsia="Arial" w:hAnsi="Arial" w:cs="Arial"/>
          <w:i/>
          <w:iCs/>
          <w:sz w:val="24"/>
          <w:szCs w:val="24"/>
        </w:rPr>
        <w:t>health</w:t>
      </w:r>
      <w:proofErr w:type="spellEnd"/>
      <w:r>
        <w:rPr>
          <w:rFonts w:ascii="Arial" w:eastAsia="Arial" w:hAnsi="Arial" w:cs="Arial"/>
          <w:i/>
          <w:iCs/>
          <w:sz w:val="24"/>
          <w:szCs w:val="24"/>
        </w:rPr>
        <w:t xml:space="preserve"> of </w:t>
      </w:r>
      <w:proofErr w:type="spellStart"/>
      <w:r>
        <w:rPr>
          <w:rFonts w:ascii="Arial" w:eastAsia="Arial" w:hAnsi="Arial" w:cs="Arial"/>
          <w:i/>
          <w:iCs/>
          <w:sz w:val="24"/>
          <w:szCs w:val="24"/>
        </w:rPr>
        <w:t>trans</w:t>
      </w:r>
      <w:proofErr w:type="spellEnd"/>
      <w:r>
        <w:rPr>
          <w:rFonts w:ascii="Arial" w:eastAsia="Arial" w:hAnsi="Arial" w:cs="Arial"/>
          <w:i/>
          <w:iCs/>
          <w:sz w:val="24"/>
          <w:szCs w:val="24"/>
        </w:rPr>
        <w:t xml:space="preserve"> and </w:t>
      </w:r>
      <w:proofErr w:type="spellStart"/>
      <w:r>
        <w:rPr>
          <w:rFonts w:ascii="Arial" w:eastAsia="Arial" w:hAnsi="Arial" w:cs="Arial"/>
          <w:i/>
          <w:iCs/>
          <w:sz w:val="24"/>
          <w:szCs w:val="24"/>
        </w:rPr>
        <w:t>gender</w:t>
      </w:r>
      <w:proofErr w:type="spellEnd"/>
      <w:r>
        <w:rPr>
          <w:rFonts w:ascii="Arial" w:eastAsia="Arial" w:hAnsi="Arial" w:cs="Arial"/>
          <w:i/>
          <w:iCs/>
          <w:sz w:val="24"/>
          <w:szCs w:val="24"/>
        </w:rPr>
        <w:t xml:space="preserve"> </w:t>
      </w:r>
      <w:proofErr w:type="spellStart"/>
      <w:r>
        <w:rPr>
          <w:rFonts w:ascii="Arial" w:eastAsia="Arial" w:hAnsi="Arial" w:cs="Arial"/>
          <w:i/>
          <w:iCs/>
          <w:sz w:val="24"/>
          <w:szCs w:val="24"/>
        </w:rPr>
        <w:t>diverse</w:t>
      </w:r>
      <w:proofErr w:type="spellEnd"/>
      <w:r>
        <w:rPr>
          <w:rFonts w:ascii="Arial" w:eastAsia="Arial" w:hAnsi="Arial" w:cs="Arial"/>
          <w:i/>
          <w:iCs/>
          <w:sz w:val="24"/>
          <w:szCs w:val="24"/>
        </w:rPr>
        <w:t xml:space="preserve"> </w:t>
      </w:r>
      <w:proofErr w:type="spellStart"/>
      <w:r>
        <w:rPr>
          <w:rFonts w:ascii="Arial" w:eastAsia="Arial" w:hAnsi="Arial" w:cs="Arial"/>
          <w:i/>
          <w:iCs/>
          <w:sz w:val="24"/>
          <w:szCs w:val="24"/>
        </w:rPr>
        <w:t>people</w:t>
      </w:r>
      <w:proofErr w:type="spellEnd"/>
      <w:r>
        <w:rPr>
          <w:rFonts w:ascii="Arial" w:eastAsia="Arial" w:hAnsi="Arial" w:cs="Arial"/>
          <w:sz w:val="24"/>
          <w:szCs w:val="24"/>
        </w:rPr>
        <w:t xml:space="preserve"> [Guía sobre la salud de las personas trans y de género diverso]. </w:t>
      </w:r>
      <w:hyperlink r:id="rId22">
        <w:r w:rsidR="002232E6">
          <w:rPr>
            <w:rFonts w:ascii="Arial" w:eastAsia="Arial" w:hAnsi="Arial" w:cs="Arial"/>
            <w:color w:val="0563C1"/>
            <w:sz w:val="24"/>
            <w:szCs w:val="24"/>
            <w:u w:val="single"/>
          </w:rPr>
          <w:t>https://wpath.org/wp-content/uploads/2024/11/Espanol-SOC8-COMPLETO-EDITADO_FINAL.pdf</w:t>
        </w:r>
      </w:hyperlink>
      <w:r>
        <w:rPr>
          <w:rFonts w:ascii="Arial" w:eastAsia="Arial" w:hAnsi="Arial" w:cs="Arial"/>
          <w:sz w:val="24"/>
          <w:szCs w:val="24"/>
        </w:rPr>
        <w:t xml:space="preserve"> </w:t>
      </w:r>
    </w:p>
    <w:p w14:paraId="42427B4E" w14:textId="77777777" w:rsidR="002232E6" w:rsidRDefault="00501254">
      <w:pPr>
        <w:spacing w:line="360" w:lineRule="auto"/>
        <w:ind w:left="706" w:hanging="706"/>
        <w:rPr>
          <w:rFonts w:ascii="Arial" w:eastAsia="Arial" w:hAnsi="Arial" w:cs="Arial"/>
          <w:sz w:val="24"/>
          <w:szCs w:val="24"/>
        </w:rPr>
      </w:pPr>
      <w:r>
        <w:rPr>
          <w:rFonts w:ascii="Arial" w:eastAsia="Arial" w:hAnsi="Arial" w:cs="Arial"/>
          <w:sz w:val="24"/>
          <w:szCs w:val="24"/>
        </w:rPr>
        <w:t xml:space="preserve">Ríos, V. (2025). El derecho a la identidad de género y el acceso a la salud de las personas trans* en Argentina. </w:t>
      </w:r>
      <w:r>
        <w:rPr>
          <w:rFonts w:ascii="Arial" w:eastAsia="Arial" w:hAnsi="Arial" w:cs="Arial"/>
          <w:i/>
          <w:iCs/>
          <w:sz w:val="24"/>
          <w:szCs w:val="24"/>
        </w:rPr>
        <w:t>Repositorio del Ministerio Público de la Defensa</w:t>
      </w:r>
      <w:r>
        <w:rPr>
          <w:rFonts w:ascii="Arial" w:eastAsia="Arial" w:hAnsi="Arial" w:cs="Arial"/>
          <w:sz w:val="24"/>
          <w:szCs w:val="24"/>
        </w:rPr>
        <w:t xml:space="preserve">. </w:t>
      </w:r>
      <w:hyperlink r:id="rId23">
        <w:r w:rsidR="002232E6">
          <w:rPr>
            <w:rFonts w:ascii="Arial" w:eastAsia="Arial" w:hAnsi="Arial" w:cs="Arial"/>
            <w:color w:val="0563C1"/>
            <w:sz w:val="24"/>
            <w:szCs w:val="24"/>
            <w:u w:val="single"/>
          </w:rPr>
          <w:t>https://repositorio.mpd.gov.ar/jspui/handle/123456789/5790</w:t>
        </w:r>
      </w:hyperlink>
      <w:r>
        <w:rPr>
          <w:rFonts w:ascii="Arial" w:eastAsia="Arial" w:hAnsi="Arial" w:cs="Arial"/>
          <w:sz w:val="24"/>
          <w:szCs w:val="24"/>
        </w:rPr>
        <w:t xml:space="preserve"> </w:t>
      </w:r>
    </w:p>
    <w:p w14:paraId="0B81307D" w14:textId="77777777" w:rsidR="002232E6" w:rsidRDefault="00501254">
      <w:pPr>
        <w:spacing w:line="360" w:lineRule="auto"/>
        <w:ind w:left="706" w:hanging="706"/>
        <w:rPr>
          <w:rFonts w:ascii="Arial" w:eastAsia="Arial" w:hAnsi="Arial" w:cs="Arial"/>
          <w:sz w:val="24"/>
          <w:szCs w:val="24"/>
        </w:rPr>
      </w:pPr>
      <w:r>
        <w:rPr>
          <w:rFonts w:ascii="Arial" w:eastAsia="Arial" w:hAnsi="Arial" w:cs="Arial"/>
          <w:sz w:val="24"/>
          <w:szCs w:val="24"/>
        </w:rPr>
        <w:t>Salinas, E., Pérez, S., Saravia, S., Báez, V. C., Galarza, V., &amp; Antelo, V. S. (2023). Identificación de pacientes e Identidad de género: conocimientos y actitudes hacia la atención de pacientes trans desde la perspectiva del personal de enfermería. </w:t>
      </w:r>
      <w:r>
        <w:rPr>
          <w:rFonts w:ascii="Arial" w:eastAsia="Arial" w:hAnsi="Arial" w:cs="Arial"/>
          <w:i/>
          <w:iCs/>
          <w:sz w:val="24"/>
          <w:szCs w:val="24"/>
        </w:rPr>
        <w:t>Salud Ciencia Y Tecnología</w:t>
      </w:r>
      <w:r>
        <w:rPr>
          <w:rFonts w:ascii="Arial" w:eastAsia="Arial" w:hAnsi="Arial" w:cs="Arial"/>
          <w:sz w:val="24"/>
          <w:szCs w:val="24"/>
        </w:rPr>
        <w:t>, </w:t>
      </w:r>
      <w:r>
        <w:rPr>
          <w:rFonts w:ascii="Arial" w:eastAsia="Arial" w:hAnsi="Arial" w:cs="Arial"/>
          <w:i/>
          <w:iCs/>
          <w:sz w:val="24"/>
          <w:szCs w:val="24"/>
        </w:rPr>
        <w:t>3</w:t>
      </w:r>
      <w:r>
        <w:rPr>
          <w:rFonts w:ascii="Arial" w:eastAsia="Arial" w:hAnsi="Arial" w:cs="Arial"/>
          <w:sz w:val="24"/>
          <w:szCs w:val="24"/>
        </w:rPr>
        <w:t>, 418. </w:t>
      </w:r>
      <w:hyperlink r:id="rId24">
        <w:r w:rsidR="002232E6">
          <w:rPr>
            <w:rFonts w:ascii="Arial" w:eastAsia="Arial" w:hAnsi="Arial" w:cs="Arial"/>
            <w:color w:val="0563C1"/>
            <w:sz w:val="24"/>
            <w:szCs w:val="24"/>
            <w:u w:val="single"/>
          </w:rPr>
          <w:t>https://repositorio.cedes.org/handle/123456789/4733</w:t>
        </w:r>
      </w:hyperlink>
      <w:r>
        <w:rPr>
          <w:rFonts w:ascii="Arial" w:eastAsia="Arial" w:hAnsi="Arial" w:cs="Arial"/>
          <w:sz w:val="24"/>
          <w:szCs w:val="24"/>
        </w:rPr>
        <w:t xml:space="preserve">  </w:t>
      </w:r>
    </w:p>
    <w:p w14:paraId="762DD405" w14:textId="77777777" w:rsidR="002232E6" w:rsidRDefault="00501254">
      <w:pPr>
        <w:spacing w:line="360" w:lineRule="auto"/>
        <w:ind w:left="706" w:hanging="706"/>
        <w:rPr>
          <w:rFonts w:ascii="Arial" w:eastAsia="Arial" w:hAnsi="Arial" w:cs="Arial"/>
          <w:color w:val="0563C1"/>
          <w:sz w:val="24"/>
          <w:szCs w:val="24"/>
          <w:u w:val="single"/>
        </w:rPr>
      </w:pPr>
      <w:proofErr w:type="spellStart"/>
      <w:r>
        <w:rPr>
          <w:rFonts w:ascii="Arial" w:eastAsia="Arial" w:hAnsi="Arial" w:cs="Arial"/>
          <w:sz w:val="24"/>
          <w:szCs w:val="24"/>
        </w:rPr>
        <w:t>Vissicchio</w:t>
      </w:r>
      <w:proofErr w:type="spellEnd"/>
      <w:r>
        <w:rPr>
          <w:rFonts w:ascii="Arial" w:eastAsia="Arial" w:hAnsi="Arial" w:cs="Arial"/>
          <w:sz w:val="24"/>
          <w:szCs w:val="24"/>
        </w:rPr>
        <w:t xml:space="preserve">, F., </w:t>
      </w:r>
      <w:proofErr w:type="spellStart"/>
      <w:r>
        <w:rPr>
          <w:rFonts w:ascii="Arial" w:eastAsia="Arial" w:hAnsi="Arial" w:cs="Arial"/>
          <w:sz w:val="24"/>
          <w:szCs w:val="24"/>
        </w:rPr>
        <w:t>Radusky</w:t>
      </w:r>
      <w:proofErr w:type="spellEnd"/>
      <w:r>
        <w:rPr>
          <w:rFonts w:ascii="Arial" w:eastAsia="Arial" w:hAnsi="Arial" w:cs="Arial"/>
          <w:sz w:val="24"/>
          <w:szCs w:val="24"/>
        </w:rPr>
        <w:t xml:space="preserve">, P. D., Zalazar, V., Cardozo, N., Santa Cruz, L., </w:t>
      </w:r>
      <w:proofErr w:type="spellStart"/>
      <w:r>
        <w:rPr>
          <w:rFonts w:ascii="Arial" w:eastAsia="Arial" w:hAnsi="Arial" w:cs="Arial"/>
          <w:sz w:val="24"/>
          <w:szCs w:val="24"/>
        </w:rPr>
        <w:t>Pecheny</w:t>
      </w:r>
      <w:proofErr w:type="spellEnd"/>
      <w:r>
        <w:rPr>
          <w:rFonts w:ascii="Arial" w:eastAsia="Arial" w:hAnsi="Arial" w:cs="Arial"/>
          <w:sz w:val="24"/>
          <w:szCs w:val="24"/>
        </w:rPr>
        <w:t xml:space="preserve">, M. y Aristegui, I. (2022) </w:t>
      </w:r>
      <w:r>
        <w:rPr>
          <w:rFonts w:ascii="Arial" w:eastAsia="Arial" w:hAnsi="Arial" w:cs="Arial"/>
          <w:i/>
          <w:iCs/>
          <w:sz w:val="24"/>
          <w:szCs w:val="24"/>
        </w:rPr>
        <w:t xml:space="preserve">Obstáculos identificados por las personas trans en la accesibilidad a los consultorios inclusivos en la provincia de Buenos Aires. </w:t>
      </w:r>
      <w:hyperlink r:id="rId25">
        <w:r w:rsidR="002232E6">
          <w:rPr>
            <w:rFonts w:ascii="Arial" w:eastAsia="Arial" w:hAnsi="Arial" w:cs="Arial"/>
            <w:color w:val="0563C1"/>
            <w:sz w:val="24"/>
            <w:szCs w:val="24"/>
            <w:u w:val="single"/>
          </w:rPr>
          <w:t>https://www.rasp.msal.gov.ar/index.php/rasp/article/view/800/812</w:t>
        </w:r>
      </w:hyperlink>
    </w:p>
    <w:p w14:paraId="572BAEE3" w14:textId="77777777" w:rsidR="002232E6" w:rsidRDefault="002232E6">
      <w:pPr>
        <w:spacing w:line="360" w:lineRule="auto"/>
        <w:ind w:left="708" w:hanging="708"/>
        <w:rPr>
          <w:rFonts w:ascii="Arial" w:eastAsia="Arial" w:hAnsi="Arial" w:cs="Arial"/>
          <w:sz w:val="24"/>
          <w:szCs w:val="24"/>
        </w:rPr>
      </w:pPr>
    </w:p>
    <w:sectPr w:rsidR="002232E6">
      <w:headerReference w:type="default" r:id="rId26"/>
      <w:footerReference w:type="default" r:id="rId27"/>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77935C" w14:textId="77777777" w:rsidR="00E46628" w:rsidRDefault="00E46628">
      <w:pPr>
        <w:spacing w:after="0" w:line="240" w:lineRule="auto"/>
      </w:pPr>
      <w:r>
        <w:separator/>
      </w:r>
    </w:p>
  </w:endnote>
  <w:endnote w:type="continuationSeparator" w:id="0">
    <w:p w14:paraId="4394C347" w14:textId="77777777" w:rsidR="00E46628" w:rsidRDefault="00E466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panose1 w:val="020B0502040504020204"/>
    <w:charset w:val="00"/>
    <w:family w:val="swiss"/>
    <w:pitch w:val="variable"/>
    <w:sig w:usb0="00000003" w:usb1="0200E0A0" w:usb2="00000000" w:usb3="00000000" w:csb0="00000001" w:csb1="00000000"/>
    <w:embedRegular r:id="rId1" w:fontKey="{32AC75DB-1C98-4AD9-B283-3EE479A7E8EB}"/>
  </w:font>
  <w:font w:name="Courier New">
    <w:panose1 w:val="02070309020205020404"/>
    <w:charset w:val="00"/>
    <w:family w:val="modern"/>
    <w:pitch w:val="fixed"/>
    <w:sig w:usb0="E0002EFF" w:usb1="C0007843" w:usb2="00000009" w:usb3="00000000" w:csb0="000001FF" w:csb1="00000000"/>
  </w:font>
  <w:font w:name="Aptos">
    <w:panose1 w:val="020B0004020202020204"/>
    <w:charset w:val="00"/>
    <w:family w:val="swiss"/>
    <w:pitch w:val="variable"/>
    <w:sig w:usb0="20000287" w:usb1="00000003" w:usb2="00000000" w:usb3="00000000" w:csb0="0000019F" w:csb1="00000000"/>
    <w:embedRegular r:id="rId2" w:fontKey="{0818C2E3-725B-411E-A1D9-C9988D3C6E44}"/>
    <w:embedBold r:id="rId3" w:fontKey="{9D293A11-9304-4C4D-92CF-47845E530EEA}"/>
    <w:embedItalic r:id="rId4" w:fontKey="{CD58A029-7197-487A-A9AD-A1C64B7D5C21}"/>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rial MT">
    <w:altName w:val="Arial"/>
    <w:charset w:val="01"/>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0566B7" w14:textId="77777777" w:rsidR="002232E6" w:rsidRDefault="00501254">
    <w:pPr>
      <w:pBdr>
        <w:top w:val="nil"/>
        <w:left w:val="nil"/>
        <w:bottom w:val="nil"/>
        <w:right w:val="nil"/>
        <w:between w:val="nil"/>
      </w:pBdr>
      <w:tabs>
        <w:tab w:val="center" w:pos="4252"/>
        <w:tab w:val="right" w:pos="8504"/>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BD38E9">
      <w:rPr>
        <w:noProof/>
        <w:color w:val="000000"/>
      </w:rPr>
      <w:t>1</w:t>
    </w:r>
    <w:r>
      <w:rPr>
        <w:color w:val="000000"/>
      </w:rPr>
      <w:fldChar w:fldCharType="end"/>
    </w:r>
  </w:p>
  <w:p w14:paraId="0D42864D" w14:textId="77777777" w:rsidR="002232E6" w:rsidRDefault="002232E6">
    <w:pPr>
      <w:pBdr>
        <w:top w:val="nil"/>
        <w:left w:val="nil"/>
        <w:bottom w:val="nil"/>
        <w:right w:val="nil"/>
        <w:between w:val="nil"/>
      </w:pBdr>
      <w:tabs>
        <w:tab w:val="center" w:pos="4252"/>
        <w:tab w:val="right" w:pos="8504"/>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F40F2C" w14:textId="77777777" w:rsidR="00E46628" w:rsidRDefault="00E46628">
      <w:pPr>
        <w:spacing w:after="0" w:line="240" w:lineRule="auto"/>
      </w:pPr>
      <w:r>
        <w:separator/>
      </w:r>
    </w:p>
  </w:footnote>
  <w:footnote w:type="continuationSeparator" w:id="0">
    <w:p w14:paraId="783F69A0" w14:textId="77777777" w:rsidR="00E46628" w:rsidRDefault="00E466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D7355" w14:textId="77777777" w:rsidR="002232E6" w:rsidRDefault="002232E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6D1B40"/>
    <w:multiLevelType w:val="multilevel"/>
    <w:tmpl w:val="580410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BA9071A"/>
    <w:multiLevelType w:val="multilevel"/>
    <w:tmpl w:val="0F5228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507F52A4"/>
    <w:multiLevelType w:val="multilevel"/>
    <w:tmpl w:val="286066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6F253130"/>
    <w:multiLevelType w:val="multilevel"/>
    <w:tmpl w:val="5CCEC8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120758912">
    <w:abstractNumId w:val="1"/>
  </w:num>
  <w:num w:numId="2" w16cid:durableId="924460053">
    <w:abstractNumId w:val="3"/>
  </w:num>
  <w:num w:numId="3" w16cid:durableId="1451124800">
    <w:abstractNumId w:val="0"/>
  </w:num>
  <w:num w:numId="4" w16cid:durableId="100744316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1"/>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32E6"/>
    <w:rsid w:val="00131B5B"/>
    <w:rsid w:val="001C0D0E"/>
    <w:rsid w:val="002232E6"/>
    <w:rsid w:val="002D28CB"/>
    <w:rsid w:val="003B2DDD"/>
    <w:rsid w:val="00436F63"/>
    <w:rsid w:val="00490815"/>
    <w:rsid w:val="00501254"/>
    <w:rsid w:val="00724D19"/>
    <w:rsid w:val="007D7D0F"/>
    <w:rsid w:val="007E07D1"/>
    <w:rsid w:val="00805F75"/>
    <w:rsid w:val="008856EB"/>
    <w:rsid w:val="0089672A"/>
    <w:rsid w:val="009E3168"/>
    <w:rsid w:val="009F38FC"/>
    <w:rsid w:val="00A662D7"/>
    <w:rsid w:val="00A82B33"/>
    <w:rsid w:val="00AB07D4"/>
    <w:rsid w:val="00B24C6D"/>
    <w:rsid w:val="00B62CDC"/>
    <w:rsid w:val="00B85797"/>
    <w:rsid w:val="00BD38E9"/>
    <w:rsid w:val="00C0655D"/>
    <w:rsid w:val="00D305A6"/>
    <w:rsid w:val="00D8002E"/>
    <w:rsid w:val="00E008B9"/>
    <w:rsid w:val="00E46628"/>
    <w:rsid w:val="00F730DC"/>
    <w:rsid w:val="00F9656C"/>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51E72B"/>
  <w15:docId w15:val="{D4915E3A-0A6E-45AA-BB83-41583BEB8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s-AR" w:eastAsia="es-A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line="360" w:lineRule="auto"/>
      <w:jc w:val="center"/>
      <w:outlineLvl w:val="0"/>
    </w:pPr>
    <w:rPr>
      <w:rFonts w:ascii="Arial" w:eastAsia="Arial" w:hAnsi="Arial" w:cs="Arial"/>
      <w:b/>
      <w:bCs/>
      <w:sz w:val="40"/>
      <w:szCs w:val="40"/>
      <w:u w:val="single"/>
    </w:rPr>
  </w:style>
  <w:style w:type="paragraph" w:styleId="Heading2">
    <w:name w:val="heading 2"/>
    <w:basedOn w:val="Normal"/>
    <w:next w:val="Normal"/>
    <w:uiPriority w:val="9"/>
    <w:unhideWhenUsed/>
    <w:qFormat/>
    <w:pPr>
      <w:keepNext/>
      <w:keepLines/>
      <w:spacing w:line="360" w:lineRule="auto"/>
      <w:outlineLvl w:val="1"/>
    </w:pPr>
    <w:rPr>
      <w:rFonts w:ascii="Arial" w:eastAsia="Arial" w:hAnsi="Arial" w:cs="Arial"/>
      <w:b/>
      <w:bCs/>
      <w:sz w:val="28"/>
      <w:szCs w:val="28"/>
      <w:u w:val="single"/>
    </w:rPr>
  </w:style>
  <w:style w:type="paragraph" w:styleId="Heading3">
    <w:name w:val="heading 3"/>
    <w:basedOn w:val="Normal"/>
    <w:next w:val="Normal"/>
    <w:uiPriority w:val="9"/>
    <w:semiHidden/>
    <w:unhideWhenUsed/>
    <w:qFormat/>
    <w:pPr>
      <w:keepNext/>
      <w:keepLines/>
      <w:spacing w:before="160" w:after="80"/>
      <w:outlineLvl w:val="2"/>
    </w:pPr>
    <w:rPr>
      <w:color w:val="2E75B5"/>
      <w:sz w:val="28"/>
      <w:szCs w:val="28"/>
    </w:rPr>
  </w:style>
  <w:style w:type="paragraph" w:styleId="Heading4">
    <w:name w:val="heading 4"/>
    <w:basedOn w:val="Normal"/>
    <w:next w:val="Normal"/>
    <w:uiPriority w:val="9"/>
    <w:semiHidden/>
    <w:unhideWhenUsed/>
    <w:qFormat/>
    <w:pPr>
      <w:keepNext/>
      <w:keepLines/>
      <w:spacing w:before="80" w:after="40"/>
      <w:outlineLvl w:val="3"/>
    </w:pPr>
    <w:rPr>
      <w:i/>
      <w:iCs/>
      <w:color w:val="2E75B5"/>
    </w:rPr>
  </w:style>
  <w:style w:type="paragraph" w:styleId="Heading5">
    <w:name w:val="heading 5"/>
    <w:basedOn w:val="Normal"/>
    <w:next w:val="Normal"/>
    <w:uiPriority w:val="9"/>
    <w:semiHidden/>
    <w:unhideWhenUsed/>
    <w:qFormat/>
    <w:pPr>
      <w:keepNext/>
      <w:keepLines/>
      <w:spacing w:before="80" w:after="40"/>
      <w:outlineLvl w:val="4"/>
    </w:pPr>
    <w:rPr>
      <w:color w:val="2E75B5"/>
    </w:rPr>
  </w:style>
  <w:style w:type="paragraph" w:styleId="Heading6">
    <w:name w:val="heading 6"/>
    <w:basedOn w:val="Normal"/>
    <w:next w:val="Normal"/>
    <w:uiPriority w:val="9"/>
    <w:semiHidden/>
    <w:unhideWhenUsed/>
    <w:qFormat/>
    <w:pPr>
      <w:keepNext/>
      <w:keepLines/>
      <w:spacing w:before="40" w:after="0"/>
      <w:outlineLvl w:val="5"/>
    </w:pPr>
    <w:rPr>
      <w:i/>
      <w:iCs/>
      <w:color w:val="595959"/>
    </w:rPr>
  </w:style>
  <w:style w:type="paragraph" w:styleId="Heading7">
    <w:name w:val="heading 7"/>
    <w:basedOn w:val="Normal"/>
    <w:next w:val="Normal"/>
    <w:link w:val="Heading7Char"/>
    <w:uiPriority w:val="9"/>
    <w:semiHidden/>
    <w:unhideWhenUsed/>
    <w:qFormat/>
    <w:rsid w:val="00B8350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8350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8350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spacing w:line="360" w:lineRule="auto"/>
      <w:jc w:val="center"/>
    </w:pPr>
    <w:rPr>
      <w:rFonts w:ascii="Arial" w:eastAsia="Arial" w:hAnsi="Arial" w:cs="Arial"/>
      <w:b/>
      <w:bCs/>
      <w:sz w:val="40"/>
      <w:szCs w:val="40"/>
      <w:u w:val="single"/>
    </w:rPr>
  </w:style>
  <w:style w:type="character" w:customStyle="1" w:styleId="Ttulo1Car">
    <w:name w:val="Título 1 Car"/>
    <w:basedOn w:val="DefaultParagraphFont"/>
    <w:uiPriority w:val="9"/>
    <w:rsid w:val="00B83508"/>
    <w:rPr>
      <w:rFonts w:asciiTheme="majorHAnsi" w:eastAsiaTheme="majorEastAsia" w:hAnsiTheme="majorHAnsi" w:cstheme="majorBidi"/>
      <w:color w:val="2E74B5" w:themeColor="accent1" w:themeShade="BF"/>
      <w:sz w:val="40"/>
      <w:szCs w:val="40"/>
    </w:rPr>
  </w:style>
  <w:style w:type="character" w:customStyle="1" w:styleId="Ttulo2Car">
    <w:name w:val="Título 2 Car"/>
    <w:basedOn w:val="DefaultParagraphFont"/>
    <w:uiPriority w:val="9"/>
    <w:semiHidden/>
    <w:rsid w:val="00B83508"/>
    <w:rPr>
      <w:rFonts w:asciiTheme="majorHAnsi" w:eastAsiaTheme="majorEastAsia" w:hAnsiTheme="majorHAnsi" w:cstheme="majorBidi"/>
      <w:color w:val="2E74B5" w:themeColor="accent1" w:themeShade="BF"/>
      <w:sz w:val="32"/>
      <w:szCs w:val="32"/>
    </w:rPr>
  </w:style>
  <w:style w:type="character" w:customStyle="1" w:styleId="Ttulo3Car">
    <w:name w:val="Título 3 Car"/>
    <w:basedOn w:val="DefaultParagraphFont"/>
    <w:uiPriority w:val="9"/>
    <w:semiHidden/>
    <w:rsid w:val="00B83508"/>
    <w:rPr>
      <w:rFonts w:eastAsiaTheme="majorEastAsia" w:cstheme="majorBidi"/>
      <w:color w:val="2E74B5" w:themeColor="accent1" w:themeShade="BF"/>
      <w:sz w:val="28"/>
      <w:szCs w:val="28"/>
    </w:rPr>
  </w:style>
  <w:style w:type="character" w:customStyle="1" w:styleId="Ttulo4Car">
    <w:name w:val="Título 4 Car"/>
    <w:basedOn w:val="DefaultParagraphFont"/>
    <w:uiPriority w:val="9"/>
    <w:semiHidden/>
    <w:rsid w:val="00B83508"/>
    <w:rPr>
      <w:rFonts w:eastAsiaTheme="majorEastAsia" w:cstheme="majorBidi"/>
      <w:i/>
      <w:iCs/>
      <w:color w:val="2E74B5" w:themeColor="accent1" w:themeShade="BF"/>
    </w:rPr>
  </w:style>
  <w:style w:type="character" w:customStyle="1" w:styleId="Ttulo5Car">
    <w:name w:val="Título 5 Car"/>
    <w:basedOn w:val="DefaultParagraphFont"/>
    <w:uiPriority w:val="9"/>
    <w:semiHidden/>
    <w:rsid w:val="00B83508"/>
    <w:rPr>
      <w:rFonts w:eastAsiaTheme="majorEastAsia" w:cstheme="majorBidi"/>
      <w:color w:val="2E74B5" w:themeColor="accent1" w:themeShade="BF"/>
    </w:rPr>
  </w:style>
  <w:style w:type="character" w:customStyle="1" w:styleId="Ttulo6Car">
    <w:name w:val="Título 6 Car"/>
    <w:basedOn w:val="DefaultParagraphFont"/>
    <w:uiPriority w:val="9"/>
    <w:semiHidden/>
    <w:rsid w:val="00B8350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8350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8350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83508"/>
    <w:rPr>
      <w:rFonts w:eastAsiaTheme="majorEastAsia" w:cstheme="majorBidi"/>
      <w:color w:val="272727" w:themeColor="text1" w:themeTint="D8"/>
    </w:rPr>
  </w:style>
  <w:style w:type="character" w:customStyle="1" w:styleId="TtuloCar">
    <w:name w:val="Título Car"/>
    <w:basedOn w:val="DefaultParagraphFont"/>
    <w:uiPriority w:val="10"/>
    <w:rsid w:val="00B83508"/>
    <w:rPr>
      <w:rFonts w:asciiTheme="majorHAnsi" w:eastAsiaTheme="majorEastAsia" w:hAnsiTheme="majorHAnsi" w:cstheme="majorBidi"/>
      <w:spacing w:val="-10"/>
      <w:kern w:val="28"/>
      <w:sz w:val="56"/>
      <w:szCs w:val="56"/>
    </w:rPr>
  </w:style>
  <w:style w:type="character" w:customStyle="1" w:styleId="SubttuloCar">
    <w:name w:val="Subtítulo Car"/>
    <w:basedOn w:val="DefaultParagraphFont"/>
    <w:uiPriority w:val="11"/>
    <w:rsid w:val="00B8350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83508"/>
    <w:pPr>
      <w:spacing w:before="160"/>
      <w:jc w:val="center"/>
    </w:pPr>
    <w:rPr>
      <w:i/>
      <w:iCs/>
      <w:color w:val="404040" w:themeColor="text1" w:themeTint="BF"/>
    </w:rPr>
  </w:style>
  <w:style w:type="character" w:customStyle="1" w:styleId="QuoteChar">
    <w:name w:val="Quote Char"/>
    <w:basedOn w:val="DefaultParagraphFont"/>
    <w:link w:val="Quote"/>
    <w:uiPriority w:val="29"/>
    <w:rsid w:val="00B83508"/>
    <w:rPr>
      <w:i/>
      <w:iCs/>
      <w:color w:val="404040" w:themeColor="text1" w:themeTint="BF"/>
    </w:rPr>
  </w:style>
  <w:style w:type="paragraph" w:styleId="ListParagraph">
    <w:name w:val="List Paragraph"/>
    <w:basedOn w:val="Normal"/>
    <w:uiPriority w:val="34"/>
    <w:qFormat/>
    <w:rsid w:val="00B83508"/>
    <w:pPr>
      <w:ind w:left="720"/>
      <w:contextualSpacing/>
    </w:pPr>
  </w:style>
  <w:style w:type="character" w:styleId="IntenseEmphasis">
    <w:name w:val="Intense Emphasis"/>
    <w:basedOn w:val="DefaultParagraphFont"/>
    <w:uiPriority w:val="21"/>
    <w:qFormat/>
    <w:rsid w:val="00B83508"/>
    <w:rPr>
      <w:i/>
      <w:iCs/>
      <w:color w:val="2E74B5" w:themeColor="accent1" w:themeShade="BF"/>
    </w:rPr>
  </w:style>
  <w:style w:type="paragraph" w:styleId="IntenseQuote">
    <w:name w:val="Intense Quote"/>
    <w:basedOn w:val="Normal"/>
    <w:next w:val="Normal"/>
    <w:link w:val="IntenseQuoteChar"/>
    <w:uiPriority w:val="30"/>
    <w:qFormat/>
    <w:rsid w:val="00B83508"/>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B83508"/>
    <w:rPr>
      <w:i/>
      <w:iCs/>
      <w:color w:val="2E74B5" w:themeColor="accent1" w:themeShade="BF"/>
    </w:rPr>
  </w:style>
  <w:style w:type="character" w:styleId="IntenseReference">
    <w:name w:val="Intense Reference"/>
    <w:basedOn w:val="DefaultParagraphFont"/>
    <w:uiPriority w:val="32"/>
    <w:qFormat/>
    <w:rsid w:val="00B83508"/>
    <w:rPr>
      <w:b/>
      <w:bCs/>
      <w:smallCaps/>
      <w:color w:val="2E74B5" w:themeColor="accent1" w:themeShade="BF"/>
      <w:spacing w:val="5"/>
    </w:rPr>
  </w:style>
  <w:style w:type="paragraph" w:styleId="BodyText">
    <w:name w:val="Body Text"/>
    <w:basedOn w:val="Normal"/>
    <w:link w:val="BodyTextChar"/>
    <w:uiPriority w:val="1"/>
    <w:qFormat/>
    <w:rsid w:val="00A771A2"/>
    <w:pPr>
      <w:widowControl w:val="0"/>
      <w:autoSpaceDE w:val="0"/>
      <w:autoSpaceDN w:val="0"/>
      <w:spacing w:after="0" w:line="240" w:lineRule="auto"/>
    </w:pPr>
    <w:rPr>
      <w:rFonts w:ascii="Arial MT" w:eastAsia="Arial MT" w:hAnsi="Arial MT" w:cs="Arial MT"/>
      <w:sz w:val="50"/>
      <w:szCs w:val="50"/>
      <w:lang w:val="es-ES"/>
    </w:rPr>
  </w:style>
  <w:style w:type="character" w:customStyle="1" w:styleId="BodyTextChar">
    <w:name w:val="Body Text Char"/>
    <w:basedOn w:val="DefaultParagraphFont"/>
    <w:link w:val="BodyText"/>
    <w:uiPriority w:val="1"/>
    <w:rsid w:val="00A771A2"/>
    <w:rPr>
      <w:rFonts w:ascii="Arial MT" w:eastAsia="Arial MT" w:hAnsi="Arial MT" w:cs="Arial MT"/>
      <w:sz w:val="50"/>
      <w:szCs w:val="50"/>
      <w:lang w:val="es-ES"/>
    </w:rPr>
  </w:style>
  <w:style w:type="character" w:styleId="Hyperlink">
    <w:name w:val="Hyperlink"/>
    <w:basedOn w:val="DefaultParagraphFont"/>
    <w:uiPriority w:val="99"/>
    <w:unhideWhenUsed/>
    <w:rsid w:val="00A771A2"/>
    <w:rPr>
      <w:color w:val="0563C1" w:themeColor="hyperlink"/>
      <w:u w:val="single"/>
    </w:rPr>
  </w:style>
  <w:style w:type="character" w:styleId="UnresolvedMention">
    <w:name w:val="Unresolved Mention"/>
    <w:basedOn w:val="DefaultParagraphFont"/>
    <w:uiPriority w:val="99"/>
    <w:semiHidden/>
    <w:unhideWhenUsed/>
    <w:rsid w:val="00B62501"/>
    <w:rPr>
      <w:color w:val="605E5C"/>
      <w:shd w:val="clear" w:color="auto" w:fill="E1DFDD"/>
    </w:rPr>
  </w:style>
  <w:style w:type="paragraph" w:styleId="Header">
    <w:name w:val="header"/>
    <w:basedOn w:val="Normal"/>
    <w:link w:val="HeaderChar"/>
    <w:uiPriority w:val="99"/>
    <w:unhideWhenUsed/>
    <w:rsid w:val="003F330D"/>
    <w:pPr>
      <w:tabs>
        <w:tab w:val="center" w:pos="4252"/>
        <w:tab w:val="right" w:pos="8504"/>
      </w:tabs>
      <w:spacing w:after="0" w:line="240" w:lineRule="auto"/>
    </w:pPr>
  </w:style>
  <w:style w:type="character" w:customStyle="1" w:styleId="HeaderChar">
    <w:name w:val="Header Char"/>
    <w:basedOn w:val="DefaultParagraphFont"/>
    <w:link w:val="Header"/>
    <w:uiPriority w:val="99"/>
    <w:rsid w:val="003F330D"/>
  </w:style>
  <w:style w:type="paragraph" w:styleId="Footer">
    <w:name w:val="footer"/>
    <w:basedOn w:val="Normal"/>
    <w:link w:val="FooterChar"/>
    <w:uiPriority w:val="99"/>
    <w:unhideWhenUsed/>
    <w:rsid w:val="003F330D"/>
    <w:pPr>
      <w:tabs>
        <w:tab w:val="center" w:pos="4252"/>
        <w:tab w:val="right" w:pos="8504"/>
      </w:tabs>
      <w:spacing w:after="0" w:line="240" w:lineRule="auto"/>
    </w:pPr>
  </w:style>
  <w:style w:type="character" w:customStyle="1" w:styleId="FooterChar">
    <w:name w:val="Footer Char"/>
    <w:basedOn w:val="DefaultParagraphFont"/>
    <w:link w:val="Footer"/>
    <w:uiPriority w:val="99"/>
    <w:rsid w:val="003F330D"/>
  </w:style>
  <w:style w:type="character" w:styleId="FollowedHyperlink">
    <w:name w:val="FollowedHyperlink"/>
    <w:basedOn w:val="DefaultParagraphFont"/>
    <w:uiPriority w:val="99"/>
    <w:semiHidden/>
    <w:unhideWhenUsed/>
    <w:rsid w:val="000736EF"/>
    <w:rPr>
      <w:color w:val="954F72" w:themeColor="followedHyperlink"/>
      <w:u w:val="single"/>
    </w:rPr>
  </w:style>
  <w:style w:type="paragraph" w:styleId="NormalWeb">
    <w:name w:val="Normal (Web)"/>
    <w:basedOn w:val="Normal"/>
    <w:uiPriority w:val="99"/>
    <w:semiHidden/>
    <w:unhideWhenUsed/>
    <w:rsid w:val="00BB72F0"/>
    <w:rPr>
      <w:rFonts w:ascii="Times New Roman" w:hAnsi="Times New Roman" w:cs="Times New Roman"/>
      <w:sz w:val="24"/>
      <w:szCs w:val="24"/>
    </w:rPr>
  </w:style>
  <w:style w:type="paragraph" w:styleId="TOCHeading">
    <w:name w:val="TOC Heading"/>
    <w:next w:val="Normal"/>
    <w:uiPriority w:val="39"/>
    <w:unhideWhenUsed/>
    <w:qFormat/>
    <w:rsid w:val="00B86942"/>
    <w:pPr>
      <w:spacing w:before="240" w:after="0"/>
    </w:pPr>
    <w:rPr>
      <w:sz w:val="32"/>
      <w:szCs w:val="32"/>
    </w:rPr>
  </w:style>
  <w:style w:type="paragraph" w:styleId="Subtitle">
    <w:name w:val="Subtitle"/>
    <w:basedOn w:val="Normal"/>
    <w:next w:val="Normal"/>
    <w:uiPriority w:val="11"/>
    <w:qFormat/>
    <w:pPr>
      <w:spacing w:line="360" w:lineRule="auto"/>
    </w:pPr>
    <w:rPr>
      <w:rFonts w:ascii="Arial" w:eastAsia="Arial" w:hAnsi="Arial" w:cs="Arial"/>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 /><Relationship Id="rId13" Type="http://schemas.openxmlformats.org/officeDocument/2006/relationships/hyperlink" Target="https://doi.org/10.17533/udea.espo.n72a03" TargetMode="External" /><Relationship Id="rId18" Type="http://schemas.openxmlformats.org/officeDocument/2006/relationships/hyperlink" Target="https://censodiversidad.ar/docs/Informe-CensoDiversidad.pdf" TargetMode="External" /><Relationship Id="rId26" Type="http://schemas.openxmlformats.org/officeDocument/2006/relationships/header" Target="header1.xml" /><Relationship Id="rId3" Type="http://schemas.openxmlformats.org/officeDocument/2006/relationships/styles" Target="styles.xml" /><Relationship Id="rId21" Type="http://schemas.openxmlformats.org/officeDocument/2006/relationships/hyperlink" Target="https://www.algec.org/wp-content/uploads/2017/09/la_revolucion_de_las_mariposas.pdf" TargetMode="External" /><Relationship Id="rId7" Type="http://schemas.openxmlformats.org/officeDocument/2006/relationships/endnotes" Target="endnotes.xml" /><Relationship Id="rId12" Type="http://schemas.openxmlformats.org/officeDocument/2006/relationships/hyperlink" Target="https://www.scielosp.org/article/scol/2025.v21/e5200/" TargetMode="External" /><Relationship Id="rId17" Type="http://schemas.openxmlformats.org/officeDocument/2006/relationships/hyperlink" Target="https://revistas.unla.edu.ar/saludcolectiva/article/view/5202" TargetMode="External" /><Relationship Id="rId25" Type="http://schemas.openxmlformats.org/officeDocument/2006/relationships/hyperlink" Target="https://www.rasp.msal.gov.ar/index.php/rasp/article/view/800/812" TargetMode="External" /><Relationship Id="rId2" Type="http://schemas.openxmlformats.org/officeDocument/2006/relationships/numbering" Target="numbering.xml" /><Relationship Id="rId16" Type="http://schemas.openxmlformats.org/officeDocument/2006/relationships/hyperlink" Target="https://servicios.infoleg.gob.ar/infolegInternet/anexos/195000-199999/197860/texact.htm" TargetMode="External" /><Relationship Id="rId20" Type="http://schemas.openxmlformats.org/officeDocument/2006/relationships/hyperlink" Target="https://www.ms.gba.gov.ar/sitios/generoydiversidad/wp-content/uploads/sites/216/2023/12/INFORME-GESTION-2021-DIVERSIDAD.pdf" TargetMode="External" /><Relationship Id="rId29" Type="http://schemas.openxmlformats.org/officeDocument/2006/relationships/theme" Target="theme/theme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https://www.elsevier.es/es-revista-medicina-clinica-2-avance-resumen-asistencia-sanitaria-personas-trans-atencion-S0025775324001970" TargetMode="External" /><Relationship Id="rId24" Type="http://schemas.openxmlformats.org/officeDocument/2006/relationships/hyperlink" Target="https://repositorio.cedes.org/handle/123456789/4733" TargetMode="External" /><Relationship Id="rId5" Type="http://schemas.openxmlformats.org/officeDocument/2006/relationships/webSettings" Target="webSettings.xml" /><Relationship Id="rId15" Type="http://schemas.openxmlformats.org/officeDocument/2006/relationships/hyperlink" Target="https://doi.org/10.14409/pc.2023.27.e0045" TargetMode="External" /><Relationship Id="rId23" Type="http://schemas.openxmlformats.org/officeDocument/2006/relationships/hyperlink" Target="https://repositorio.mpd.gov.ar/jspui/handle/123456789/5790" TargetMode="External" /><Relationship Id="rId28" Type="http://schemas.openxmlformats.org/officeDocument/2006/relationships/fontTable" Target="fontTable.xml" /><Relationship Id="rId10" Type="http://schemas.openxmlformats.org/officeDocument/2006/relationships/hyperlink" Target="https://www.argentina.gob.ar/sites/default/files/2023/10/7_guiadesaludlgbti-web-v6.pdf" TargetMode="External" /><Relationship Id="rId19" Type="http://schemas.openxmlformats.org/officeDocument/2006/relationships/hyperlink" Target="https://ministeriodelasmujeres.gba.gob.ar/gestor/uploads/Informe%20de%20Gesti%C3%B3n%202024.pdf" TargetMode="External" /><Relationship Id="rId4" Type="http://schemas.openxmlformats.org/officeDocument/2006/relationships/settings" Target="settings.xml" /><Relationship Id="rId9" Type="http://schemas.openxmlformats.org/officeDocument/2006/relationships/hyperlink" Target="https://www.revistas.usach.cl/ojs/index.php/palimpsesto/article/view/6413" TargetMode="External" /><Relationship Id="rId14" Type="http://schemas.openxmlformats.org/officeDocument/2006/relationships/hyperlink" Target="https://fh.mdp.edu.ar/revistas/index.php/sudamerica/article/view/6495/7321" TargetMode="External" /><Relationship Id="rId22" Type="http://schemas.openxmlformats.org/officeDocument/2006/relationships/hyperlink" Target="https://wpath.org/wp-content/uploads/2024/11/Espanol-SOC8-COMPLETO-EDITADO_FINAL.pdf" TargetMode="External" /><Relationship Id="rId27" Type="http://schemas.openxmlformats.org/officeDocument/2006/relationships/footer" Target="footer1.xml" /></Relationships>
</file>

<file path=word/_rels/fontTable.xml.rels><?xml version="1.0" encoding="UTF-8" standalone="yes"?>
<Relationships xmlns="http://schemas.openxmlformats.org/package/2006/relationships"><Relationship Id="rId3" Type="http://schemas.openxmlformats.org/officeDocument/2006/relationships/font" Target="fonts/font3.odttf" /><Relationship Id="rId2" Type="http://schemas.openxmlformats.org/officeDocument/2006/relationships/font" Target="fonts/font2.odttf" /><Relationship Id="rId1" Type="http://schemas.openxmlformats.org/officeDocument/2006/relationships/font" Target="fonts/font1.odttf" /><Relationship Id="rId4" Type="http://schemas.openxmlformats.org/officeDocument/2006/relationships/font" Target="fonts/font4.odttf"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sqjcUS25OrqvAWjsZk3j1qyn8Zw==">CgMxLjAyDmgudGllMjZram90aWl3Mg5oLjMzb2p0OThoeDVicDIOaC5pNjlieTRuYWdzcGQyDmgudWNwM3VmbXoxNTZ3Mg5oLjNpd3l1eXZucTViZjIOaC5uOXBiaW9oYjczbXAyDmguNGRrYXJ3bHJ6eGsyMg5oLjI0MGE4NGFldTgzcTIOaC5zOGo5aGplNWliM3YyDmgubTU5dGEyZTNmaGt4Mg5oLmczcHo5ZGdxdXMwMTIOaC45czRwdm11ZGp2NDQyDmguaTMwc29nMjgzejU5Mg5oLnVheGNlbXBlczh3ajIOaC5rYTltYnN1cjQ5YWQyDmguZzVlanFydmxpaWhkMg5oLmxwcXM3NzMyY2kwaDIOaC40N3JnZjA2dmFxZzEyDmguNWhoMmRjbTRhMnR1Mg5oLmJkYzUxMGUxMHFodDIOaC55YXptNmZhdjRvbGIyDmguMzM4N2Fmb2V5MHRkMg5oLm9ncHQ1bHhuaWU5djIOaC5xNzZ2ZzZyd2MxN28yDmguMjc5eDB6cnhxdHFhMg5oLmp4OG53aHZieWo5ajIOaC41bXU5MDMyNjcyMTQ4AHIhMUd4dmdKMkhOdFc2YTRJX2ZPaE1EMndmTGF5SmRiRU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6806</Words>
  <Characters>38798</Characters>
  <Application>Microsoft Office Word</Application>
  <DocSecurity>0</DocSecurity>
  <Lines>323</Lines>
  <Paragraphs>91</Paragraphs>
  <ScaleCrop>false</ScaleCrop>
  <Company/>
  <LinksUpToDate>false</LinksUpToDate>
  <CharactersWithSpaces>45513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Bauti Pietro</dc:creator>
  <cp:lastModifiedBy>Bauti Pietro</cp:lastModifiedBy>
  <cp:revision>2</cp:revision>
  <dcterms:created xsi:type="dcterms:W3CDTF">2025-12-16T21:42:00Z</dcterms:created>
  <dcterms:modified xsi:type="dcterms:W3CDTF">2025-12-16T21:42:00Z</dcterms:modified>
</cp:coreProperties>
</file>